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6F5E" w:rsidR="756143BB" w:rsidP="2159B10E" w:rsidRDefault="2948D34C" w14:paraId="7FCC17E2" w14:textId="6BFCA455">
      <w:pPr>
        <w:rPr>
          <w:b/>
          <w:bCs/>
          <w:sz w:val="22"/>
          <w:szCs w:val="22"/>
        </w:rPr>
      </w:pPr>
      <w:r w:rsidRPr="00026F5E">
        <w:rPr>
          <w:b/>
          <w:bCs/>
          <w:sz w:val="22"/>
          <w:szCs w:val="22"/>
        </w:rPr>
        <w:t>Full Potential Programme</w:t>
      </w:r>
    </w:p>
    <w:p w:rsidR="00DF4767" w:rsidP="2159B10E" w:rsidRDefault="30F16D23" w14:paraId="5E5787A5" w14:textId="0BBC81F4">
      <w:pPr>
        <w:rPr>
          <w:sz w:val="22"/>
          <w:szCs w:val="22"/>
        </w:rPr>
      </w:pPr>
      <w:r w:rsidRPr="2159B10E">
        <w:rPr>
          <w:sz w:val="22"/>
          <w:szCs w:val="22"/>
        </w:rPr>
        <w:t>The</w:t>
      </w:r>
      <w:r w:rsidRPr="2159B10E" w:rsidR="4651400B">
        <w:rPr>
          <w:sz w:val="22"/>
          <w:szCs w:val="22"/>
        </w:rPr>
        <w:t xml:space="preserve"> </w:t>
      </w:r>
      <w:r w:rsidRPr="2159B10E">
        <w:rPr>
          <w:sz w:val="22"/>
          <w:szCs w:val="22"/>
        </w:rPr>
        <w:t xml:space="preserve">Full Potential Programme is funded by </w:t>
      </w:r>
      <w:r w:rsidR="002A3E05">
        <w:rPr>
          <w:sz w:val="22"/>
          <w:szCs w:val="22"/>
        </w:rPr>
        <w:t>Ce</w:t>
      </w:r>
      <w:r w:rsidRPr="2159B10E">
        <w:rPr>
          <w:sz w:val="22"/>
          <w:szCs w:val="22"/>
        </w:rPr>
        <w:t>ntral UK government and led locally by the Greater London Authority</w:t>
      </w:r>
      <w:r w:rsidR="00C81960">
        <w:rPr>
          <w:sz w:val="22"/>
          <w:szCs w:val="22"/>
        </w:rPr>
        <w:t xml:space="preserve"> and Central London Forward</w:t>
      </w:r>
      <w:r w:rsidRPr="2159B10E">
        <w:rPr>
          <w:sz w:val="22"/>
          <w:szCs w:val="22"/>
        </w:rPr>
        <w:t xml:space="preserve">. The </w:t>
      </w:r>
      <w:r w:rsidRPr="2159B10E" w:rsidR="67B757E3">
        <w:rPr>
          <w:sz w:val="22"/>
          <w:szCs w:val="22"/>
        </w:rPr>
        <w:t>programme</w:t>
      </w:r>
      <w:r w:rsidRPr="2159B10E">
        <w:rPr>
          <w:sz w:val="22"/>
          <w:szCs w:val="22"/>
        </w:rPr>
        <w:t xml:space="preserve"> is intended to help people to move towards employment</w:t>
      </w:r>
      <w:r w:rsidRPr="2159B10E" w:rsidR="6D74548C">
        <w:rPr>
          <w:sz w:val="22"/>
          <w:szCs w:val="22"/>
        </w:rPr>
        <w:t>, education or training</w:t>
      </w:r>
      <w:r w:rsidRPr="2159B10E">
        <w:rPr>
          <w:sz w:val="22"/>
          <w:szCs w:val="22"/>
        </w:rPr>
        <w:t xml:space="preserve">.   </w:t>
      </w:r>
    </w:p>
    <w:p w:rsidR="48E4C187" w:rsidP="2159B10E" w:rsidRDefault="004A3101" w14:paraId="4FE187EA" w14:textId="442649B9">
      <w:pPr>
        <w:rPr>
          <w:sz w:val="22"/>
          <w:szCs w:val="22"/>
        </w:rPr>
      </w:pPr>
      <w:r>
        <w:rPr>
          <w:sz w:val="22"/>
          <w:szCs w:val="22"/>
        </w:rPr>
        <w:t>Camden Council</w:t>
      </w:r>
      <w:r w:rsidRPr="2159B10E" w:rsidR="48E4C187">
        <w:rPr>
          <w:sz w:val="22"/>
          <w:szCs w:val="22"/>
        </w:rPr>
        <w:t xml:space="preserve"> </w:t>
      </w:r>
      <w:r w:rsidR="00C81960">
        <w:rPr>
          <w:sz w:val="22"/>
          <w:szCs w:val="22"/>
        </w:rPr>
        <w:t xml:space="preserve">will be delivering the Full Potential programme </w:t>
      </w:r>
      <w:r w:rsidR="00E936EC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the London Borough of </w:t>
      </w:r>
      <w:r w:rsidR="00E936EC">
        <w:rPr>
          <w:sz w:val="22"/>
          <w:szCs w:val="22"/>
        </w:rPr>
        <w:t>Camden</w:t>
      </w:r>
      <w:r w:rsidR="00D65DDF">
        <w:rPr>
          <w:sz w:val="22"/>
          <w:szCs w:val="22"/>
        </w:rPr>
        <w:t xml:space="preserve">. This programme </w:t>
      </w:r>
      <w:r w:rsidRPr="00D65DDF" w:rsidR="00D65DDF">
        <w:rPr>
          <w:sz w:val="22"/>
          <w:szCs w:val="22"/>
        </w:rPr>
        <w:t>aims to support Camden care leavers/care experienced young people aged 17-25 into education, training or employment with a particular focus on reaching Camden care leavers who wouldn’t otherwise proactively engage with local employment services, including our own.</w:t>
      </w:r>
    </w:p>
    <w:p w:rsidRPr="00026F5E" w:rsidR="44586FFE" w:rsidP="2159B10E" w:rsidRDefault="44586FFE" w14:paraId="2EEB40A1" w14:textId="668EB9D6">
      <w:pPr>
        <w:rPr>
          <w:b/>
          <w:bCs/>
          <w:sz w:val="22"/>
          <w:szCs w:val="22"/>
        </w:rPr>
      </w:pPr>
      <w:r w:rsidRPr="00026F5E">
        <w:rPr>
          <w:b/>
          <w:bCs/>
          <w:sz w:val="22"/>
          <w:szCs w:val="22"/>
        </w:rPr>
        <w:t>What information do we collect?</w:t>
      </w:r>
    </w:p>
    <w:p w:rsidRPr="00845BB0" w:rsidR="00845BB0" w:rsidP="00845BB0" w:rsidRDefault="00845BB0" w14:paraId="31EC5BCB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Full name </w:t>
      </w:r>
    </w:p>
    <w:p w:rsidRPr="00845BB0" w:rsidR="00845BB0" w:rsidP="00845BB0" w:rsidRDefault="00845BB0" w14:paraId="79ED91EA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Email address </w:t>
      </w:r>
    </w:p>
    <w:p w:rsidRPr="00845BB0" w:rsidR="00845BB0" w:rsidP="00845BB0" w:rsidRDefault="00845BB0" w14:paraId="6CCA4D9B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Phone number </w:t>
      </w:r>
    </w:p>
    <w:p w:rsidRPr="00845BB0" w:rsidR="00845BB0" w:rsidP="00845BB0" w:rsidRDefault="00845BB0" w14:paraId="0E3C3572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Address </w:t>
      </w:r>
    </w:p>
    <w:p w:rsidRPr="00845BB0" w:rsidR="00845BB0" w:rsidP="00845BB0" w:rsidRDefault="00845BB0" w14:paraId="0AF4EE91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Gender </w:t>
      </w:r>
    </w:p>
    <w:p w:rsidRPr="00845BB0" w:rsidR="00845BB0" w:rsidP="00845BB0" w:rsidRDefault="00845BB0" w14:paraId="11FEE894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National Insurance number </w:t>
      </w:r>
    </w:p>
    <w:p w:rsidRPr="00845BB0" w:rsidR="00845BB0" w:rsidP="00845BB0" w:rsidRDefault="00845BB0" w14:paraId="0E0A0768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Ethnicity </w:t>
      </w:r>
    </w:p>
    <w:p w:rsidRPr="00845BB0" w:rsidR="00845BB0" w:rsidP="00845BB0" w:rsidRDefault="00845BB0" w14:paraId="4E182FD2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Care status </w:t>
      </w:r>
    </w:p>
    <w:p w:rsidRPr="00845BB0" w:rsidR="00845BB0" w:rsidP="00845BB0" w:rsidRDefault="00845BB0" w14:paraId="4A04C04D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Date of birth </w:t>
      </w:r>
    </w:p>
    <w:p w:rsidRPr="00845BB0" w:rsidR="00845BB0" w:rsidP="00845BB0" w:rsidRDefault="00845BB0" w14:paraId="6F3ACAFE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Long term health / disability </w:t>
      </w:r>
    </w:p>
    <w:p w:rsidRPr="00845BB0" w:rsidR="00845BB0" w:rsidP="00845BB0" w:rsidRDefault="00845BB0" w14:paraId="02BB4B0E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Highest education level </w:t>
      </w:r>
    </w:p>
    <w:p w:rsidRPr="00845BB0" w:rsidR="00845BB0" w:rsidP="00845BB0" w:rsidRDefault="00845BB0" w14:paraId="020C46EE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Historic special needs </w:t>
      </w:r>
    </w:p>
    <w:p w:rsidRPr="00845BB0" w:rsidR="00845BB0" w:rsidP="00845BB0" w:rsidRDefault="00845BB0" w14:paraId="1006BAAC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Physical or mental health condition likely to last 12 months or more </w:t>
      </w:r>
    </w:p>
    <w:p w:rsidRPr="00845BB0" w:rsidR="00845BB0" w:rsidP="00845BB0" w:rsidRDefault="00845BB0" w14:paraId="045C2445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Date of first contact </w:t>
      </w:r>
    </w:p>
    <w:p w:rsidRPr="00845BB0" w:rsidR="00845BB0" w:rsidP="00845BB0" w:rsidRDefault="00845BB0" w14:paraId="2E97B8C5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Date when the CEYP started and completed the programme </w:t>
      </w:r>
    </w:p>
    <w:p w:rsidRPr="00845BB0" w:rsidR="00845BB0" w:rsidP="00845BB0" w:rsidRDefault="00845BB0" w14:paraId="22DA6ABB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Employment, training and education status at the start and end of the programme  </w:t>
      </w:r>
    </w:p>
    <w:p w:rsidRPr="00845BB0" w:rsidR="00845BB0" w:rsidP="00845BB0" w:rsidRDefault="00845BB0" w14:paraId="30AE8AFD" w14:textId="5E1AD735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The month/year they were last in employment, education or training </w:t>
      </w:r>
    </w:p>
    <w:p w:rsidRPr="00845BB0" w:rsidR="00845BB0" w:rsidP="00845BB0" w:rsidRDefault="00845BB0" w14:paraId="3316E646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Primary and secondary health-related barriers to employment, education or training </w:t>
      </w:r>
    </w:p>
    <w:p w:rsidRPr="00845BB0" w:rsidR="00845BB0" w:rsidP="00845BB0" w:rsidRDefault="00845BB0" w14:paraId="089A95DD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Primary and secondary non-health related barriers to employment, education or training </w:t>
      </w:r>
    </w:p>
    <w:p w:rsidRPr="00845BB0" w:rsidR="00845BB0" w:rsidP="00845BB0" w:rsidRDefault="00845BB0" w14:paraId="52DC0408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Safeguarding factors </w:t>
      </w:r>
    </w:p>
    <w:p w:rsidRPr="00845BB0" w:rsidR="00845BB0" w:rsidP="00845BB0" w:rsidRDefault="00845BB0" w14:paraId="7E0CB913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Offending history / probation status </w:t>
      </w:r>
    </w:p>
    <w:p w:rsidRPr="00845BB0" w:rsidR="00845BB0" w:rsidP="00845BB0" w:rsidRDefault="00845BB0" w14:paraId="2B958AD6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Previous experience of employment </w:t>
      </w:r>
    </w:p>
    <w:p w:rsidRPr="00845BB0" w:rsidR="00845BB0" w:rsidP="00845BB0" w:rsidRDefault="00845BB0" w14:paraId="37CA9F85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DF18452" w:rsidR="00845BB0">
        <w:rPr>
          <w:sz w:val="22"/>
          <w:szCs w:val="22"/>
        </w:rPr>
        <w:t xml:space="preserve">Prior qualification level </w:t>
      </w:r>
    </w:p>
    <w:p w:rsidR="6FAABC7B" w:rsidP="0DF18452" w:rsidRDefault="6FAABC7B" w14:paraId="53C3BA07" w14:textId="4621703F">
      <w:pPr>
        <w:pStyle w:val="ListParagraph"/>
        <w:numPr>
          <w:ilvl w:val="0"/>
          <w:numId w:val="2"/>
        </w:numPr>
        <w:tabs>
          <w:tab w:val="left" w:leader="none" w:pos="3170"/>
        </w:tabs>
        <w:rPr>
          <w:sz w:val="22"/>
          <w:szCs w:val="22"/>
        </w:rPr>
      </w:pPr>
      <w:r w:rsidRPr="0DF18452" w:rsidR="6FAABC7B">
        <w:rPr>
          <w:sz w:val="22"/>
          <w:szCs w:val="22"/>
        </w:rPr>
        <w:t>Benefits information</w:t>
      </w:r>
    </w:p>
    <w:p w:rsidRPr="00845BB0" w:rsidR="00845BB0" w:rsidP="00845BB0" w:rsidRDefault="00845BB0" w14:paraId="01BD8011" w14:textId="1E65506D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Perceived levels of competence in a range of soft skills (employment related) at both the start and end of the programme </w:t>
      </w:r>
    </w:p>
    <w:p w:rsidR="00845BB0" w:rsidP="00845BB0" w:rsidRDefault="00845BB0" w14:paraId="68AC8D52" w14:textId="77777777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t xml:space="preserve">Where they were referred on to, if a referral was made (referral route) </w:t>
      </w:r>
    </w:p>
    <w:p w:rsidRPr="009E7688" w:rsidR="2159B10E" w:rsidP="00564E25" w:rsidRDefault="00845BB0" w14:paraId="3612F92D" w14:textId="0628039A">
      <w:pPr>
        <w:pStyle w:val="ListParagraph"/>
        <w:numPr>
          <w:ilvl w:val="0"/>
          <w:numId w:val="2"/>
        </w:numPr>
        <w:tabs>
          <w:tab w:val="left" w:pos="3170"/>
        </w:tabs>
        <w:rPr>
          <w:sz w:val="22"/>
          <w:szCs w:val="22"/>
        </w:rPr>
      </w:pPr>
      <w:r w:rsidRPr="00845BB0">
        <w:rPr>
          <w:sz w:val="22"/>
          <w:szCs w:val="22"/>
        </w:rPr>
        <w:lastRenderedPageBreak/>
        <w:t>Support received</w:t>
      </w:r>
      <w:r w:rsidRPr="009E7688" w:rsidR="00564E25">
        <w:rPr>
          <w:sz w:val="22"/>
          <w:szCs w:val="22"/>
        </w:rPr>
        <w:tab/>
      </w:r>
    </w:p>
    <w:p w:rsidRPr="00026F5E" w:rsidR="44586FFE" w:rsidP="2159B10E" w:rsidRDefault="44586FFE" w14:paraId="3FE2A953" w14:textId="72392EC9">
      <w:pPr>
        <w:rPr>
          <w:b/>
          <w:bCs/>
          <w:sz w:val="22"/>
          <w:szCs w:val="22"/>
        </w:rPr>
      </w:pPr>
      <w:r w:rsidRPr="00026F5E">
        <w:rPr>
          <w:b/>
          <w:bCs/>
          <w:sz w:val="22"/>
          <w:szCs w:val="22"/>
        </w:rPr>
        <w:t>How do we collect your data?</w:t>
      </w:r>
    </w:p>
    <w:p w:rsidR="2159B10E" w:rsidP="004F7E1D" w:rsidRDefault="008B6512" w14:paraId="59076903" w14:textId="3F794E7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The registration form will collect your full name and email address.</w:t>
      </w:r>
    </w:p>
    <w:p w:rsidRPr="004F7E1D" w:rsidR="008B6512" w:rsidP="004F7E1D" w:rsidRDefault="00082D4C" w14:paraId="74828528" w14:textId="0969713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The remaining data</w:t>
      </w:r>
      <w:r w:rsidR="00507A0A">
        <w:rPr>
          <w:sz w:val="22"/>
          <w:szCs w:val="22"/>
        </w:rPr>
        <w:t xml:space="preserve"> may be collected through </w:t>
      </w:r>
      <w:r w:rsidR="00295949">
        <w:rPr>
          <w:sz w:val="22"/>
          <w:szCs w:val="22"/>
        </w:rPr>
        <w:t xml:space="preserve">internal systems (e.g. MOSAIC) and </w:t>
      </w:r>
      <w:r w:rsidR="004A3101">
        <w:rPr>
          <w:sz w:val="22"/>
          <w:szCs w:val="22"/>
        </w:rPr>
        <w:t>internal teams at Camden Council</w:t>
      </w:r>
      <w:r w:rsidR="00DC1CEF">
        <w:rPr>
          <w:sz w:val="22"/>
          <w:szCs w:val="22"/>
        </w:rPr>
        <w:t>;</w:t>
      </w:r>
      <w:r w:rsidR="004A3101">
        <w:rPr>
          <w:sz w:val="22"/>
          <w:szCs w:val="22"/>
        </w:rPr>
        <w:t xml:space="preserve"> </w:t>
      </w:r>
      <w:r w:rsidR="008F5335">
        <w:rPr>
          <w:sz w:val="22"/>
          <w:szCs w:val="22"/>
        </w:rPr>
        <w:t xml:space="preserve">information shared </w:t>
      </w:r>
      <w:r w:rsidR="00DC1CEF">
        <w:rPr>
          <w:sz w:val="22"/>
          <w:szCs w:val="22"/>
        </w:rPr>
        <w:t>by</w:t>
      </w:r>
      <w:r w:rsidR="004A3101">
        <w:rPr>
          <w:sz w:val="22"/>
          <w:szCs w:val="22"/>
        </w:rPr>
        <w:t xml:space="preserve"> </w:t>
      </w:r>
      <w:r w:rsidR="008F5335">
        <w:rPr>
          <w:sz w:val="22"/>
          <w:szCs w:val="22"/>
        </w:rPr>
        <w:t>yourself with the Full Potential delivery team</w:t>
      </w:r>
      <w:r w:rsidR="00DC1CEF">
        <w:rPr>
          <w:sz w:val="22"/>
          <w:szCs w:val="22"/>
        </w:rPr>
        <w:t xml:space="preserve"> in conversations, emails and other formats; </w:t>
      </w:r>
      <w:r w:rsidR="008F5335">
        <w:rPr>
          <w:sz w:val="22"/>
          <w:szCs w:val="22"/>
        </w:rPr>
        <w:t>information shared by the Drive Forward Foundation and other third parties supporting on delivery.</w:t>
      </w:r>
    </w:p>
    <w:p w:rsidRPr="00026F5E" w:rsidR="44586FFE" w:rsidP="2159B10E" w:rsidRDefault="44586FFE" w14:paraId="50D3AC57" w14:textId="3314E42D">
      <w:pPr>
        <w:rPr>
          <w:b/>
          <w:bCs/>
          <w:sz w:val="22"/>
          <w:szCs w:val="22"/>
        </w:rPr>
      </w:pPr>
      <w:r w:rsidRPr="00026F5E">
        <w:rPr>
          <w:b/>
          <w:bCs/>
          <w:sz w:val="22"/>
          <w:szCs w:val="22"/>
        </w:rPr>
        <w:t>How will we use your data?</w:t>
      </w:r>
    </w:p>
    <w:p w:rsidRPr="000161B8" w:rsidR="000161B8" w:rsidP="000161B8" w:rsidRDefault="000161B8" w14:paraId="108ACC65" w14:textId="651F89F5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We collect your data so we can:</w:t>
      </w:r>
    </w:p>
    <w:p w:rsidR="000161B8" w:rsidP="2159B10E" w:rsidRDefault="006A6100" w14:paraId="77B3855F" w14:textId="41DB49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Provide tailored support to you.</w:t>
      </w:r>
    </w:p>
    <w:p w:rsidR="0B97BFBC" w:rsidP="2159B10E" w:rsidRDefault="006A6100" w14:paraId="24E58999" w14:textId="354FBE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Share with third parties</w:t>
      </w:r>
      <w:r w:rsidR="00483884">
        <w:rPr>
          <w:color w:val="000000" w:themeColor="text1"/>
          <w:sz w:val="22"/>
          <w:szCs w:val="22"/>
        </w:rPr>
        <w:t xml:space="preserve"> supporting the delivery of this programme</w:t>
      </w:r>
      <w:r>
        <w:rPr>
          <w:color w:val="000000" w:themeColor="text1"/>
          <w:sz w:val="22"/>
          <w:szCs w:val="22"/>
        </w:rPr>
        <w:t>, including the Drive Forward Foundation, so they can provide tailored support to you.</w:t>
      </w:r>
    </w:p>
    <w:p w:rsidR="006A6100" w:rsidP="2159B10E" w:rsidRDefault="006A6100" w14:paraId="39617B3A" w14:textId="6FF48A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Share</w:t>
      </w:r>
      <w:r w:rsidRPr="2159B10E" w:rsidR="0B97BFBC">
        <w:rPr>
          <w:color w:val="000000" w:themeColor="text1"/>
          <w:sz w:val="22"/>
          <w:szCs w:val="22"/>
        </w:rPr>
        <w:t xml:space="preserve"> with the </w:t>
      </w:r>
      <w:r w:rsidR="00D276FB">
        <w:rPr>
          <w:color w:val="000000" w:themeColor="text1"/>
          <w:sz w:val="22"/>
          <w:szCs w:val="22"/>
        </w:rPr>
        <w:t xml:space="preserve">Central London Forward, </w:t>
      </w:r>
      <w:r w:rsidRPr="2159B10E" w:rsidR="4B5F7969">
        <w:rPr>
          <w:color w:val="000000" w:themeColor="text1"/>
          <w:sz w:val="22"/>
          <w:szCs w:val="22"/>
        </w:rPr>
        <w:t>Greater London Authority</w:t>
      </w:r>
      <w:r w:rsidRPr="2159B10E" w:rsidR="0B97BFBC">
        <w:rPr>
          <w:color w:val="000000" w:themeColor="text1"/>
          <w:sz w:val="22"/>
          <w:szCs w:val="22"/>
        </w:rPr>
        <w:t xml:space="preserve"> and </w:t>
      </w:r>
      <w:r>
        <w:rPr>
          <w:color w:val="000000" w:themeColor="text1"/>
          <w:sz w:val="22"/>
          <w:szCs w:val="22"/>
        </w:rPr>
        <w:t xml:space="preserve">Central Government, including </w:t>
      </w:r>
      <w:r w:rsidRPr="2159B10E" w:rsidR="0B97BFBC">
        <w:rPr>
          <w:color w:val="000000" w:themeColor="text1"/>
          <w:sz w:val="22"/>
          <w:szCs w:val="22"/>
        </w:rPr>
        <w:t>Department for Work and Pensions (DWP)</w:t>
      </w:r>
      <w:r w:rsidR="00483884">
        <w:rPr>
          <w:color w:val="000000" w:themeColor="text1"/>
          <w:sz w:val="22"/>
          <w:szCs w:val="22"/>
        </w:rPr>
        <w:t xml:space="preserve">, </w:t>
      </w:r>
      <w:r w:rsidRPr="2159B10E" w:rsidR="00483884">
        <w:rPr>
          <w:color w:val="000000" w:themeColor="text1"/>
          <w:sz w:val="22"/>
          <w:szCs w:val="22"/>
        </w:rPr>
        <w:t>His Majesty’s Revenue and Customs</w:t>
      </w:r>
      <w:r w:rsidRPr="2159B10E" w:rsidR="0B97BFB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and </w:t>
      </w:r>
      <w:r w:rsidR="009B25BB">
        <w:rPr>
          <w:color w:val="000000" w:themeColor="text1"/>
          <w:sz w:val="22"/>
          <w:szCs w:val="22"/>
        </w:rPr>
        <w:t>Department for Education</w:t>
      </w:r>
      <w:r>
        <w:rPr>
          <w:color w:val="000000" w:themeColor="text1"/>
          <w:sz w:val="22"/>
          <w:szCs w:val="22"/>
        </w:rPr>
        <w:t>,</w:t>
      </w:r>
      <w:r w:rsidR="009B25BB">
        <w:rPr>
          <w:color w:val="000000" w:themeColor="text1"/>
          <w:sz w:val="22"/>
          <w:szCs w:val="22"/>
        </w:rPr>
        <w:t xml:space="preserve"> </w:t>
      </w:r>
      <w:r w:rsidR="00BC5543">
        <w:rPr>
          <w:color w:val="000000" w:themeColor="text1"/>
          <w:sz w:val="22"/>
          <w:szCs w:val="22"/>
        </w:rPr>
        <w:t>as required for the monitoring and funding obligations of this programme.</w:t>
      </w:r>
    </w:p>
    <w:p w:rsidR="0B97BFBC" w:rsidP="2159B10E" w:rsidRDefault="006A6100" w14:paraId="09258C45" w14:textId="41B6E3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Share with third parties, including the Learning and Work Institute, </w:t>
      </w:r>
      <w:r w:rsidR="007B553A">
        <w:rPr>
          <w:color w:val="000000" w:themeColor="text1"/>
          <w:sz w:val="22"/>
          <w:szCs w:val="22"/>
        </w:rPr>
        <w:t>for</w:t>
      </w:r>
      <w:r>
        <w:rPr>
          <w:color w:val="000000" w:themeColor="text1"/>
          <w:sz w:val="22"/>
          <w:szCs w:val="22"/>
        </w:rPr>
        <w:t xml:space="preserve"> evaluation activities</w:t>
      </w:r>
      <w:r w:rsidR="00BC5543">
        <w:rPr>
          <w:color w:val="000000" w:themeColor="text1"/>
          <w:sz w:val="22"/>
          <w:szCs w:val="22"/>
        </w:rPr>
        <w:t xml:space="preserve"> as required for the programme.</w:t>
      </w:r>
    </w:p>
    <w:p w:rsidR="00483884" w:rsidP="00483884" w:rsidRDefault="00483884" w14:paraId="45B3C9C0" w14:textId="77777777">
      <w:pPr>
        <w:spacing w:after="0" w:line="240" w:lineRule="auto"/>
        <w:rPr>
          <w:color w:val="000000" w:themeColor="text1"/>
          <w:sz w:val="22"/>
          <w:szCs w:val="22"/>
        </w:rPr>
      </w:pPr>
    </w:p>
    <w:p w:rsidRPr="00483884" w:rsidR="0B97BFBC" w:rsidP="00483884" w:rsidRDefault="0B97BFBC" w14:paraId="63AC2C80" w14:textId="70D0CFC4">
      <w:pPr>
        <w:spacing w:after="0" w:line="240" w:lineRule="auto"/>
        <w:rPr>
          <w:color w:val="000000" w:themeColor="text1"/>
          <w:sz w:val="22"/>
          <w:szCs w:val="22"/>
        </w:rPr>
      </w:pPr>
      <w:r w:rsidRPr="00483884">
        <w:rPr>
          <w:color w:val="000000" w:themeColor="text1"/>
          <w:sz w:val="22"/>
          <w:szCs w:val="22"/>
        </w:rPr>
        <w:t xml:space="preserve">Once the </w:t>
      </w:r>
      <w:r w:rsidR="00596820">
        <w:rPr>
          <w:color w:val="000000" w:themeColor="text1"/>
          <w:sz w:val="22"/>
          <w:szCs w:val="22"/>
        </w:rPr>
        <w:t>programme</w:t>
      </w:r>
      <w:r w:rsidRPr="00483884">
        <w:rPr>
          <w:color w:val="000000" w:themeColor="text1"/>
          <w:sz w:val="22"/>
          <w:szCs w:val="22"/>
        </w:rPr>
        <w:t xml:space="preserve"> is completed, personal </w:t>
      </w:r>
      <w:r w:rsidR="00483884">
        <w:rPr>
          <w:color w:val="000000" w:themeColor="text1"/>
          <w:sz w:val="22"/>
          <w:szCs w:val="22"/>
        </w:rPr>
        <w:t>data</w:t>
      </w:r>
      <w:r w:rsidRPr="00483884">
        <w:rPr>
          <w:color w:val="000000" w:themeColor="text1"/>
          <w:sz w:val="22"/>
          <w:szCs w:val="22"/>
        </w:rPr>
        <w:t xml:space="preserve"> held about you will be securely destroyed</w:t>
      </w:r>
      <w:r w:rsidR="00596820">
        <w:rPr>
          <w:color w:val="000000" w:themeColor="text1"/>
          <w:sz w:val="22"/>
          <w:szCs w:val="22"/>
        </w:rPr>
        <w:t xml:space="preserve"> after</w:t>
      </w:r>
      <w:r w:rsidR="002A3E05">
        <w:rPr>
          <w:color w:val="000000" w:themeColor="text1"/>
          <w:sz w:val="22"/>
          <w:szCs w:val="22"/>
        </w:rPr>
        <w:t xml:space="preserve"> seven</w:t>
      </w:r>
      <w:r w:rsidR="00596820">
        <w:rPr>
          <w:color w:val="000000" w:themeColor="text1"/>
          <w:sz w:val="22"/>
          <w:szCs w:val="22"/>
        </w:rPr>
        <w:t xml:space="preserve"> years</w:t>
      </w:r>
      <w:r w:rsidR="002A3E05">
        <w:rPr>
          <w:color w:val="000000" w:themeColor="text1"/>
          <w:sz w:val="22"/>
          <w:szCs w:val="22"/>
        </w:rPr>
        <w:t xml:space="preserve"> as required in case of audit</w:t>
      </w:r>
      <w:r w:rsidRPr="00483884">
        <w:rPr>
          <w:color w:val="000000" w:themeColor="text1"/>
          <w:sz w:val="22"/>
          <w:szCs w:val="22"/>
        </w:rPr>
        <w:t>.</w:t>
      </w:r>
    </w:p>
    <w:p w:rsidR="2159B10E" w:rsidP="2159B10E" w:rsidRDefault="2159B10E" w14:paraId="2D8DBC43" w14:textId="2F8B0BC4">
      <w:pPr>
        <w:spacing w:after="0" w:line="240" w:lineRule="auto"/>
        <w:rPr>
          <w:color w:val="000000" w:themeColor="text1"/>
          <w:sz w:val="22"/>
          <w:szCs w:val="22"/>
        </w:rPr>
      </w:pPr>
    </w:p>
    <w:p w:rsidRPr="007E6016" w:rsidR="297A331F" w:rsidP="00E60223" w:rsidRDefault="297A331F" w14:paraId="0F4DC084" w14:textId="62C13681">
      <w:pPr>
        <w:rPr>
          <w:sz w:val="22"/>
          <w:szCs w:val="22"/>
        </w:rPr>
      </w:pPr>
      <w:r w:rsidRPr="007E6016">
        <w:rPr>
          <w:sz w:val="22"/>
          <w:szCs w:val="22"/>
        </w:rPr>
        <w:t>Legal Basis for processing your data: For personal data the legal basis is UK GDPR art 6(1)(e) public task. For special category data it is UK GDPR art 9(2)(</w:t>
      </w:r>
      <w:r w:rsidR="0007084D">
        <w:rPr>
          <w:sz w:val="22"/>
          <w:szCs w:val="22"/>
        </w:rPr>
        <w:t>b</w:t>
      </w:r>
      <w:r w:rsidRPr="007E6016">
        <w:rPr>
          <w:sz w:val="22"/>
          <w:szCs w:val="22"/>
        </w:rPr>
        <w:t xml:space="preserve">) public interest </w:t>
      </w:r>
      <w:r w:rsidRPr="00CE7585" w:rsidR="00CE7585">
        <w:rPr>
          <w:sz w:val="22"/>
          <w:szCs w:val="22"/>
        </w:rPr>
        <w:t>Employment, social security and social protection (if authorised by law) AND Data Protection Act 2018 Schedule 1 Part 1 condition: Para 1 Employment, social security and social protection</w:t>
      </w:r>
      <w:r w:rsidR="00CE7585">
        <w:rPr>
          <w:sz w:val="22"/>
          <w:szCs w:val="22"/>
        </w:rPr>
        <w:t xml:space="preserve">, </w:t>
      </w:r>
      <w:r w:rsidRPr="00CE7585" w:rsidR="00CE7585">
        <w:rPr>
          <w:sz w:val="22"/>
          <w:szCs w:val="22"/>
        </w:rPr>
        <w:t>Para 2 Health or social care purposes</w:t>
      </w:r>
      <w:r w:rsidR="00CE7585">
        <w:rPr>
          <w:sz w:val="22"/>
          <w:szCs w:val="22"/>
        </w:rPr>
        <w:t xml:space="preserve">, </w:t>
      </w:r>
      <w:r w:rsidRPr="00CE7585" w:rsidR="00CE7585">
        <w:rPr>
          <w:sz w:val="22"/>
          <w:szCs w:val="22"/>
        </w:rPr>
        <w:t>Para 3 Public health</w:t>
      </w:r>
      <w:r w:rsidR="00CE7585">
        <w:rPr>
          <w:sz w:val="22"/>
          <w:szCs w:val="22"/>
        </w:rPr>
        <w:t xml:space="preserve">, </w:t>
      </w:r>
      <w:r w:rsidRPr="00CE7585" w:rsidR="00CE7585">
        <w:rPr>
          <w:sz w:val="22"/>
          <w:szCs w:val="22"/>
        </w:rPr>
        <w:t xml:space="preserve">Para 4 Research </w:t>
      </w:r>
      <w:r w:rsidRPr="007E6016">
        <w:rPr>
          <w:sz w:val="22"/>
          <w:szCs w:val="22"/>
        </w:rPr>
        <w:t xml:space="preserve">and the underpinning law being Localism Act 2011. </w:t>
      </w:r>
      <w:r w:rsidRPr="00E60223" w:rsidR="00E60223">
        <w:rPr>
          <w:sz w:val="22"/>
          <w:szCs w:val="22"/>
        </w:rPr>
        <w:t xml:space="preserve">Criminal Offence Data- Art 10 met by the article 6 condition for personal data and the Data Protection </w:t>
      </w:r>
      <w:r w:rsidR="00E60223">
        <w:rPr>
          <w:sz w:val="22"/>
          <w:szCs w:val="22"/>
        </w:rPr>
        <w:t>Ac</w:t>
      </w:r>
      <w:r w:rsidRPr="00E60223" w:rsidR="00E60223">
        <w:rPr>
          <w:sz w:val="22"/>
          <w:szCs w:val="22"/>
        </w:rPr>
        <w:t>t 2018 conditions for special category data</w:t>
      </w:r>
    </w:p>
    <w:sectPr w:rsidRPr="007E6016" w:rsidR="297A331F">
      <w:head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960" w:rsidP="00C81960" w:rsidRDefault="00C81960" w14:paraId="0217D416" w14:textId="77777777">
      <w:pPr>
        <w:spacing w:after="0" w:line="240" w:lineRule="auto"/>
      </w:pPr>
      <w:r>
        <w:separator/>
      </w:r>
    </w:p>
  </w:endnote>
  <w:endnote w:type="continuationSeparator" w:id="0">
    <w:p w:rsidR="00C81960" w:rsidP="00C81960" w:rsidRDefault="00C81960" w14:paraId="2DD5E9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960" w:rsidP="00C81960" w:rsidRDefault="00C81960" w14:paraId="1CE086B8" w14:textId="77777777">
      <w:pPr>
        <w:spacing w:after="0" w:line="240" w:lineRule="auto"/>
      </w:pPr>
      <w:r>
        <w:separator/>
      </w:r>
    </w:p>
  </w:footnote>
  <w:footnote w:type="continuationSeparator" w:id="0">
    <w:p w:rsidR="00C81960" w:rsidP="00C81960" w:rsidRDefault="00C81960" w14:paraId="38FF67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1960" w:rsidRDefault="00C81960" w14:paraId="2F9A67B1" w14:textId="454C4CFC">
    <w:pPr>
      <w:pStyle w:val="Header"/>
    </w:pPr>
    <w:r>
      <w:rPr>
        <w:noProof/>
      </w:rPr>
      <w:drawing>
        <wp:inline distT="0" distB="0" distL="0" distR="0" wp14:anchorId="1B324108" wp14:editId="13707D42">
          <wp:extent cx="5731510" cy="1167765"/>
          <wp:effectExtent l="0" t="0" r="2540" b="0"/>
          <wp:docPr id="2119609632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09632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67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162"/>
    <w:multiLevelType w:val="hybridMultilevel"/>
    <w:tmpl w:val="78862E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3717F6"/>
    <w:multiLevelType w:val="hybridMultilevel"/>
    <w:tmpl w:val="E2C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F29050"/>
    <w:multiLevelType w:val="hybridMultilevel"/>
    <w:tmpl w:val="F4DE6BD2"/>
    <w:lvl w:ilvl="0" w:tplc="C33C8D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30CC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4678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B4D1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E680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B01A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6C6A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523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B45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2432184">
    <w:abstractNumId w:val="2"/>
  </w:num>
  <w:num w:numId="2" w16cid:durableId="1476222843">
    <w:abstractNumId w:val="0"/>
  </w:num>
  <w:num w:numId="3" w16cid:durableId="121072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B53A03"/>
    <w:rsid w:val="000161B8"/>
    <w:rsid w:val="00026F5E"/>
    <w:rsid w:val="0007084D"/>
    <w:rsid w:val="00082D4C"/>
    <w:rsid w:val="001E235E"/>
    <w:rsid w:val="00295949"/>
    <w:rsid w:val="002A3E05"/>
    <w:rsid w:val="003E6C7A"/>
    <w:rsid w:val="00424852"/>
    <w:rsid w:val="00483884"/>
    <w:rsid w:val="004A3101"/>
    <w:rsid w:val="004F7E1D"/>
    <w:rsid w:val="00507A0A"/>
    <w:rsid w:val="00564E25"/>
    <w:rsid w:val="00596820"/>
    <w:rsid w:val="006A6100"/>
    <w:rsid w:val="00710AF6"/>
    <w:rsid w:val="007B553A"/>
    <w:rsid w:val="007E6016"/>
    <w:rsid w:val="00845BB0"/>
    <w:rsid w:val="008B6512"/>
    <w:rsid w:val="008F5335"/>
    <w:rsid w:val="009B25BB"/>
    <w:rsid w:val="009E7688"/>
    <w:rsid w:val="00A60B15"/>
    <w:rsid w:val="00BC5543"/>
    <w:rsid w:val="00C81960"/>
    <w:rsid w:val="00CE7585"/>
    <w:rsid w:val="00D276FB"/>
    <w:rsid w:val="00D65DDF"/>
    <w:rsid w:val="00DC1CEF"/>
    <w:rsid w:val="00DF4767"/>
    <w:rsid w:val="00E60223"/>
    <w:rsid w:val="00E936EC"/>
    <w:rsid w:val="0B97BFBC"/>
    <w:rsid w:val="0DF18452"/>
    <w:rsid w:val="214615A0"/>
    <w:rsid w:val="2159B10E"/>
    <w:rsid w:val="2948D34C"/>
    <w:rsid w:val="297A331F"/>
    <w:rsid w:val="2EB53A03"/>
    <w:rsid w:val="30F16D23"/>
    <w:rsid w:val="329166E8"/>
    <w:rsid w:val="35A1D6A2"/>
    <w:rsid w:val="3E379C95"/>
    <w:rsid w:val="44586FFE"/>
    <w:rsid w:val="4651400B"/>
    <w:rsid w:val="48E4C187"/>
    <w:rsid w:val="4AB4A128"/>
    <w:rsid w:val="4B5F7969"/>
    <w:rsid w:val="4D4F72CA"/>
    <w:rsid w:val="67B757E3"/>
    <w:rsid w:val="67E36552"/>
    <w:rsid w:val="6D74548C"/>
    <w:rsid w:val="6FAABC7B"/>
    <w:rsid w:val="756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53A03"/>
  <w15:chartTrackingRefBased/>
  <w15:docId w15:val="{0EF03A0B-C4C5-4929-B906-3DC3544F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159B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96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1960"/>
  </w:style>
  <w:style w:type="paragraph" w:styleId="Footer">
    <w:name w:val="footer"/>
    <w:basedOn w:val="Normal"/>
    <w:link w:val="FooterChar"/>
    <w:uiPriority w:val="99"/>
    <w:unhideWhenUsed/>
    <w:rsid w:val="00C8196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8b8b18-b966-42fb-a3c5-656ff3ca136d">
      <Terms xmlns="http://schemas.microsoft.com/office/infopath/2007/PartnerControls"/>
    </lcf76f155ced4ddcb4097134ff3c332f>
    <Status xmlns="8e8b8b18-b966-42fb-a3c5-656ff3ca136d" xsi:nil="true"/>
    <TaxCatchAll xmlns="44ddefe2-930e-44e0-9eba-398c8850b455" xsi:nil="true"/>
    <Reasoning xmlns="8e8b8b18-b966-42fb-a3c5-656ff3ca1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EE46815247740BD3709C0259BEA38" ma:contentTypeVersion="20" ma:contentTypeDescription="Create a new document." ma:contentTypeScope="" ma:versionID="87f4dcffcd7bc944e54f71c729352710">
  <xsd:schema xmlns:xsd="http://www.w3.org/2001/XMLSchema" xmlns:xs="http://www.w3.org/2001/XMLSchema" xmlns:p="http://schemas.microsoft.com/office/2006/metadata/properties" xmlns:ns2="8e8b8b18-b966-42fb-a3c5-656ff3ca136d" xmlns:ns3="44ddefe2-930e-44e0-9eba-398c8850b455" targetNamespace="http://schemas.microsoft.com/office/2006/metadata/properties" ma:root="true" ma:fieldsID="b53e793b1d179721d4cd6b46b8fd83ff" ns2:_="" ns3:_="">
    <xsd:import namespace="8e8b8b18-b966-42fb-a3c5-656ff3ca136d"/>
    <xsd:import namespace="44ddefe2-930e-44e0-9eba-398c8850b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Reaso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b8b18-b966-42fb-a3c5-656ff3ca1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7be31d-7c30-4568-a9ce-af1670ac3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APPROVED"/>
              <xsd:enumeration value="REJECTED"/>
              <xsd:enumeration value="More Info Required"/>
              <xsd:enumeration value="Needs payment"/>
              <xsd:enumeration value="Paid"/>
              <xsd:enumeration value="PENDING"/>
            </xsd:restriction>
          </xsd:simpleType>
        </xsd:union>
      </xsd:simpleType>
    </xsd:element>
    <xsd:element name="Reasoning" ma:index="27" nillable="true" ma:displayName="Reasoning" ma:format="Dropdown" ma:internalName="Reaso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defe2-930e-44e0-9eba-398c8850b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842a3-4c26-4035-a6a6-cd48f2ba2d11}" ma:internalName="TaxCatchAll" ma:showField="CatchAllData" ma:web="44ddefe2-930e-44e0-9eba-398c8850b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53FFC-3B5D-4B6A-B7E6-455AD8B6A627}">
  <ds:schemaRefs>
    <ds:schemaRef ds:uri="http://schemas.microsoft.com/office/2006/metadata/properties"/>
    <ds:schemaRef ds:uri="http://schemas.microsoft.com/office/infopath/2007/PartnerControls"/>
    <ds:schemaRef ds:uri="8e8b8b18-b966-42fb-a3c5-656ff3ca136d"/>
    <ds:schemaRef ds:uri="44ddefe2-930e-44e0-9eba-398c8850b455"/>
  </ds:schemaRefs>
</ds:datastoreItem>
</file>

<file path=customXml/itemProps2.xml><?xml version="1.0" encoding="utf-8"?>
<ds:datastoreItem xmlns:ds="http://schemas.openxmlformats.org/officeDocument/2006/customXml" ds:itemID="{5579454D-E607-4D87-B290-10CB01463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6D30C-88D5-45E4-8015-08FEAEAA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b8b18-b966-42fb-a3c5-656ff3ca136d"/>
    <ds:schemaRef ds:uri="44ddefe2-930e-44e0-9eba-398c8850b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Aimee Lau</dc:creator>
  <keywords/>
  <dc:description/>
  <lastModifiedBy>Aimee Lau</lastModifiedBy>
  <revision>37</revision>
  <dcterms:created xsi:type="dcterms:W3CDTF">2025-12-16T14:45:00.0000000Z</dcterms:created>
  <dcterms:modified xsi:type="dcterms:W3CDTF">2025-12-16T15:36:51.2397902Z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0x010100ADDEE46815247740BD3709C0259BEA38</vt:lpwstr>
  </property>
  <property fmtid="{D5CDD505-2E9C-101B-9397-08002B2CF9AE}" pid="3" name="MediaServiceImageTags">
    <vt:lpwstr/>
  </property>
</Properties>
</file>