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79AE" w14:textId="77777777" w:rsidR="00181195" w:rsidRPr="007738CD" w:rsidRDefault="00181195" w:rsidP="007738CD">
      <w:pPr>
        <w:spacing w:before="120" w:after="120" w:line="240" w:lineRule="auto"/>
        <w:jc w:val="right"/>
        <w:rPr>
          <w:rFonts w:ascii="Arial" w:eastAsia="Calibri" w:hAnsi="Arial" w:cs="Arial"/>
          <w:kern w:val="0"/>
          <w14:ligatures w14:val="none"/>
        </w:rPr>
      </w:pPr>
      <w:r w:rsidRPr="007738CD">
        <w:rPr>
          <w:rFonts w:ascii="Arial" w:eastAsia="Calibri" w:hAnsi="Arial" w:cs="Arial"/>
          <w:noProof/>
          <w:kern w:val="0"/>
          <w:lang w:eastAsia="en-GB"/>
          <w14:ligatures w14:val="none"/>
        </w:rPr>
        <w:drawing>
          <wp:inline distT="0" distB="0" distL="0" distR="0" wp14:anchorId="1E4AEC5E" wp14:editId="7A452624">
            <wp:extent cx="1447800" cy="1476375"/>
            <wp:effectExtent l="0" t="0" r="0" b="9525"/>
            <wp:docPr id="681665648" name="Picture 68166564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65648" name="Picture 681665648" descr="A black and white logo&#10;&#10;AI-generated content may be incorrect."/>
                    <pic:cNvPicPr/>
                  </pic:nvPicPr>
                  <pic:blipFill>
                    <a:blip r:embed="rId8"/>
                    <a:stretch>
                      <a:fillRect/>
                    </a:stretch>
                  </pic:blipFill>
                  <pic:spPr>
                    <a:xfrm>
                      <a:off x="0" y="0"/>
                      <a:ext cx="1447800" cy="1476375"/>
                    </a:xfrm>
                    <a:prstGeom prst="rect">
                      <a:avLst/>
                    </a:prstGeom>
                  </pic:spPr>
                </pic:pic>
              </a:graphicData>
            </a:graphic>
          </wp:inline>
        </w:drawing>
      </w:r>
    </w:p>
    <w:p w14:paraId="3444E247" w14:textId="77777777" w:rsidR="00181195" w:rsidRPr="007738CD" w:rsidRDefault="00181195" w:rsidP="007738CD">
      <w:pPr>
        <w:spacing w:before="120" w:after="120" w:line="240" w:lineRule="auto"/>
        <w:rPr>
          <w:rFonts w:ascii="Arial" w:eastAsia="Calibri" w:hAnsi="Arial" w:cs="Arial"/>
          <w:kern w:val="0"/>
          <w14:ligatures w14:val="none"/>
        </w:rPr>
      </w:pPr>
    </w:p>
    <w:p w14:paraId="51A97E01" w14:textId="77777777" w:rsidR="00181195" w:rsidRPr="007738CD" w:rsidRDefault="00181195" w:rsidP="007738CD">
      <w:pPr>
        <w:spacing w:before="120" w:after="120" w:line="240" w:lineRule="auto"/>
        <w:rPr>
          <w:rFonts w:ascii="Arial" w:eastAsia="Calibri" w:hAnsi="Arial" w:cs="Arial"/>
          <w:kern w:val="0"/>
          <w14:ligatures w14:val="none"/>
        </w:rPr>
      </w:pPr>
    </w:p>
    <w:p w14:paraId="6E53DFC0" w14:textId="77777777" w:rsidR="00181195" w:rsidRPr="007738CD" w:rsidRDefault="00181195" w:rsidP="007738CD">
      <w:pPr>
        <w:spacing w:before="120" w:after="120" w:line="240" w:lineRule="auto"/>
        <w:rPr>
          <w:rFonts w:ascii="Arial" w:eastAsia="Calibri" w:hAnsi="Arial" w:cs="Arial"/>
          <w:kern w:val="0"/>
          <w14:ligatures w14:val="none"/>
        </w:rPr>
      </w:pPr>
    </w:p>
    <w:p w14:paraId="22BBBE77" w14:textId="77777777" w:rsidR="00181195" w:rsidRPr="007738CD" w:rsidRDefault="00181195" w:rsidP="007738CD">
      <w:pPr>
        <w:spacing w:before="120" w:after="120" w:line="240" w:lineRule="auto"/>
        <w:rPr>
          <w:rFonts w:ascii="Arial" w:eastAsia="Calibri" w:hAnsi="Arial" w:cs="Arial"/>
          <w:kern w:val="0"/>
          <w14:ligatures w14:val="none"/>
        </w:rPr>
      </w:pPr>
    </w:p>
    <w:p w14:paraId="17869C7F" w14:textId="77777777" w:rsidR="00181195" w:rsidRPr="007738CD" w:rsidRDefault="00181195" w:rsidP="007738CD">
      <w:pPr>
        <w:spacing w:before="120" w:after="120" w:line="240" w:lineRule="auto"/>
        <w:rPr>
          <w:rFonts w:ascii="Arial" w:eastAsia="Calibri" w:hAnsi="Arial" w:cs="Arial"/>
          <w:kern w:val="0"/>
          <w14:ligatures w14:val="none"/>
        </w:rPr>
      </w:pPr>
    </w:p>
    <w:p w14:paraId="222E6FA2" w14:textId="77777777" w:rsidR="00181195" w:rsidRPr="007738CD" w:rsidRDefault="00181195" w:rsidP="007738CD">
      <w:pPr>
        <w:spacing w:before="120" w:after="120" w:line="240" w:lineRule="auto"/>
        <w:rPr>
          <w:rFonts w:ascii="Arial" w:eastAsia="Calibri" w:hAnsi="Arial" w:cs="Arial"/>
          <w:kern w:val="0"/>
          <w14:ligatures w14:val="none"/>
        </w:rPr>
      </w:pPr>
    </w:p>
    <w:p w14:paraId="6A7D55DE" w14:textId="77777777" w:rsidR="00181195" w:rsidRPr="007738CD" w:rsidRDefault="00181195" w:rsidP="007738CD">
      <w:pPr>
        <w:spacing w:before="120" w:after="120" w:line="240" w:lineRule="auto"/>
        <w:rPr>
          <w:rFonts w:ascii="Arial" w:eastAsia="Calibri" w:hAnsi="Arial" w:cs="Arial"/>
          <w:kern w:val="0"/>
          <w14:ligatures w14:val="none"/>
        </w:rPr>
      </w:pPr>
    </w:p>
    <w:p w14:paraId="65541271" w14:textId="77777777" w:rsidR="00181195" w:rsidRPr="007738CD" w:rsidRDefault="00181195" w:rsidP="007738CD">
      <w:pPr>
        <w:spacing w:before="120" w:after="120" w:line="240" w:lineRule="auto"/>
        <w:rPr>
          <w:rFonts w:ascii="Arial" w:eastAsia="Calibri" w:hAnsi="Arial" w:cs="Arial"/>
          <w:kern w:val="0"/>
          <w14:ligatures w14:val="none"/>
        </w:rPr>
      </w:pPr>
    </w:p>
    <w:p w14:paraId="65546F5C" w14:textId="77777777" w:rsidR="00181195" w:rsidRPr="007738CD" w:rsidRDefault="00181195" w:rsidP="007738CD">
      <w:pPr>
        <w:overflowPunct w:val="0"/>
        <w:autoSpaceDE w:val="0"/>
        <w:autoSpaceDN w:val="0"/>
        <w:adjustRightInd w:val="0"/>
        <w:spacing w:before="120" w:after="120" w:line="240" w:lineRule="auto"/>
        <w:jc w:val="center"/>
        <w:textAlignment w:val="baseline"/>
        <w:rPr>
          <w:rFonts w:ascii="Arial" w:eastAsia="Times New Roman" w:hAnsi="Arial" w:cs="Arial"/>
          <w:b/>
          <w:bCs/>
          <w:kern w:val="28"/>
          <w:sz w:val="32"/>
          <w:szCs w:val="32"/>
          <w:lang w:eastAsia="en-GB"/>
          <w14:ligatures w14:val="none"/>
        </w:rPr>
      </w:pPr>
      <w:r w:rsidRPr="007738CD">
        <w:rPr>
          <w:rFonts w:ascii="Arial" w:eastAsia="Times New Roman" w:hAnsi="Arial" w:cs="Arial"/>
          <w:b/>
          <w:bCs/>
          <w:kern w:val="28"/>
          <w:sz w:val="32"/>
          <w:szCs w:val="32"/>
          <w:lang w:eastAsia="en-GB"/>
          <w14:ligatures w14:val="none"/>
        </w:rPr>
        <w:t>Review of Proxy Voting 2025</w:t>
      </w:r>
    </w:p>
    <w:p w14:paraId="7341155A" w14:textId="77777777" w:rsidR="00181195" w:rsidRPr="007738CD" w:rsidRDefault="00181195" w:rsidP="007738CD">
      <w:pPr>
        <w:overflowPunct w:val="0"/>
        <w:autoSpaceDE w:val="0"/>
        <w:autoSpaceDN w:val="0"/>
        <w:adjustRightInd w:val="0"/>
        <w:spacing w:before="120" w:after="120" w:line="240" w:lineRule="auto"/>
        <w:jc w:val="center"/>
        <w:textAlignment w:val="baseline"/>
        <w:rPr>
          <w:rFonts w:ascii="Arial" w:eastAsia="Times New Roman" w:hAnsi="Arial" w:cs="Arial"/>
          <w:b/>
          <w:bCs/>
          <w:kern w:val="28"/>
          <w:sz w:val="32"/>
          <w:szCs w:val="32"/>
          <w:lang w:eastAsia="en-GB"/>
          <w14:ligatures w14:val="none"/>
        </w:rPr>
      </w:pPr>
    </w:p>
    <w:p w14:paraId="22DD2458" w14:textId="77777777" w:rsidR="00181195" w:rsidRPr="007738CD" w:rsidRDefault="00181195" w:rsidP="007738CD">
      <w:pPr>
        <w:overflowPunct w:val="0"/>
        <w:autoSpaceDE w:val="0"/>
        <w:autoSpaceDN w:val="0"/>
        <w:adjustRightInd w:val="0"/>
        <w:spacing w:before="120" w:after="120" w:line="240" w:lineRule="auto"/>
        <w:jc w:val="center"/>
        <w:textAlignment w:val="baseline"/>
        <w:rPr>
          <w:rFonts w:ascii="Arial" w:eastAsia="Times New Roman" w:hAnsi="Arial" w:cs="Arial"/>
          <w:b/>
          <w:bCs/>
          <w:kern w:val="28"/>
          <w:sz w:val="32"/>
          <w:szCs w:val="32"/>
          <w:lang w:eastAsia="en-GB"/>
          <w14:ligatures w14:val="none"/>
        </w:rPr>
      </w:pPr>
      <w:r w:rsidRPr="007738CD">
        <w:rPr>
          <w:rFonts w:ascii="Arial" w:eastAsia="Times New Roman" w:hAnsi="Arial" w:cs="Arial"/>
          <w:b/>
          <w:bCs/>
          <w:kern w:val="28"/>
          <w:sz w:val="32"/>
          <w:szCs w:val="32"/>
          <w:lang w:eastAsia="en-GB"/>
          <w14:ligatures w14:val="none"/>
        </w:rPr>
        <w:t>London Borough</w:t>
      </w:r>
    </w:p>
    <w:p w14:paraId="18C8072F" w14:textId="77777777" w:rsidR="00181195" w:rsidRPr="007738CD" w:rsidRDefault="00181195" w:rsidP="007738CD">
      <w:pPr>
        <w:overflowPunct w:val="0"/>
        <w:autoSpaceDE w:val="0"/>
        <w:autoSpaceDN w:val="0"/>
        <w:adjustRightInd w:val="0"/>
        <w:spacing w:before="120" w:after="120" w:line="240" w:lineRule="auto"/>
        <w:jc w:val="center"/>
        <w:textAlignment w:val="baseline"/>
        <w:rPr>
          <w:rFonts w:ascii="Arial" w:eastAsia="Times New Roman" w:hAnsi="Arial" w:cs="Arial"/>
          <w:b/>
          <w:bCs/>
          <w:kern w:val="28"/>
          <w:sz w:val="32"/>
          <w:szCs w:val="32"/>
          <w:lang w:eastAsia="en-GB"/>
          <w14:ligatures w14:val="none"/>
        </w:rPr>
      </w:pPr>
      <w:r w:rsidRPr="007738CD">
        <w:rPr>
          <w:rFonts w:ascii="Arial" w:eastAsia="Times New Roman" w:hAnsi="Arial" w:cs="Arial"/>
          <w:b/>
          <w:bCs/>
          <w:kern w:val="28"/>
          <w:sz w:val="32"/>
          <w:szCs w:val="32"/>
          <w:lang w:eastAsia="en-GB"/>
          <w14:ligatures w14:val="none"/>
        </w:rPr>
        <w:t>of</w:t>
      </w:r>
    </w:p>
    <w:p w14:paraId="4CC846ED" w14:textId="77777777" w:rsidR="00181195" w:rsidRPr="007738CD" w:rsidRDefault="00181195" w:rsidP="007738CD">
      <w:pPr>
        <w:overflowPunct w:val="0"/>
        <w:autoSpaceDE w:val="0"/>
        <w:autoSpaceDN w:val="0"/>
        <w:adjustRightInd w:val="0"/>
        <w:spacing w:before="120" w:after="120" w:line="240" w:lineRule="auto"/>
        <w:jc w:val="center"/>
        <w:textAlignment w:val="baseline"/>
        <w:rPr>
          <w:rFonts w:ascii="Arial" w:eastAsia="Times New Roman" w:hAnsi="Arial" w:cs="Arial"/>
          <w:b/>
          <w:bCs/>
          <w:kern w:val="28"/>
          <w:sz w:val="32"/>
          <w:szCs w:val="32"/>
          <w:lang w:eastAsia="en-GB"/>
          <w14:ligatures w14:val="none"/>
        </w:rPr>
      </w:pPr>
      <w:r w:rsidRPr="007738CD">
        <w:rPr>
          <w:rFonts w:ascii="Arial" w:eastAsia="Times New Roman" w:hAnsi="Arial" w:cs="Arial"/>
          <w:b/>
          <w:bCs/>
          <w:kern w:val="28"/>
          <w:sz w:val="32"/>
          <w:szCs w:val="32"/>
          <w:lang w:eastAsia="en-GB"/>
          <w14:ligatures w14:val="none"/>
        </w:rPr>
        <w:t>Camden Pension Fund</w:t>
      </w:r>
    </w:p>
    <w:p w14:paraId="3A55DC6C" w14:textId="77777777" w:rsidR="00181195" w:rsidRPr="007738CD" w:rsidRDefault="00181195" w:rsidP="007738CD">
      <w:pPr>
        <w:spacing w:before="120" w:after="120" w:line="240" w:lineRule="auto"/>
        <w:rPr>
          <w:rFonts w:ascii="Arial" w:eastAsia="Calibri" w:hAnsi="Arial" w:cs="Arial"/>
          <w:kern w:val="0"/>
          <w14:ligatures w14:val="none"/>
        </w:rPr>
      </w:pPr>
    </w:p>
    <w:p w14:paraId="0AF5EB69" w14:textId="77777777" w:rsidR="00181195" w:rsidRPr="007738CD" w:rsidRDefault="00181195" w:rsidP="007738CD">
      <w:pPr>
        <w:spacing w:before="120" w:after="120" w:line="240" w:lineRule="auto"/>
        <w:rPr>
          <w:rFonts w:ascii="Arial" w:eastAsia="Calibri" w:hAnsi="Arial" w:cs="Arial"/>
          <w:kern w:val="0"/>
          <w14:ligatures w14:val="none"/>
        </w:rPr>
      </w:pPr>
    </w:p>
    <w:p w14:paraId="1754DC43" w14:textId="77777777" w:rsidR="00181195" w:rsidRPr="007738CD" w:rsidRDefault="00181195" w:rsidP="007738CD">
      <w:pPr>
        <w:spacing w:before="120" w:after="120" w:line="240" w:lineRule="auto"/>
        <w:rPr>
          <w:rFonts w:ascii="Arial" w:eastAsia="Calibri" w:hAnsi="Arial" w:cs="Arial"/>
          <w:kern w:val="0"/>
          <w14:ligatures w14:val="none"/>
        </w:rPr>
      </w:pPr>
    </w:p>
    <w:p w14:paraId="2D92A3E6" w14:textId="77777777" w:rsidR="00181195" w:rsidRPr="007738CD" w:rsidRDefault="00181195" w:rsidP="007738CD">
      <w:pPr>
        <w:spacing w:before="120" w:after="120" w:line="240" w:lineRule="auto"/>
        <w:rPr>
          <w:rFonts w:ascii="Arial" w:eastAsia="Calibri" w:hAnsi="Arial" w:cs="Arial"/>
          <w:kern w:val="0"/>
          <w14:ligatures w14:val="none"/>
        </w:rPr>
      </w:pPr>
    </w:p>
    <w:p w14:paraId="6DA672D0" w14:textId="77777777" w:rsidR="00181195" w:rsidRPr="007738CD" w:rsidRDefault="00181195" w:rsidP="007738CD">
      <w:pPr>
        <w:spacing w:before="120" w:after="120" w:line="240" w:lineRule="auto"/>
        <w:rPr>
          <w:rFonts w:ascii="Arial" w:eastAsia="Calibri" w:hAnsi="Arial" w:cs="Arial"/>
          <w:kern w:val="0"/>
          <w14:ligatures w14:val="none"/>
        </w:rPr>
      </w:pPr>
    </w:p>
    <w:p w14:paraId="258F819C" w14:textId="77777777" w:rsidR="00181195" w:rsidRPr="007738CD" w:rsidRDefault="00181195" w:rsidP="007738CD">
      <w:pPr>
        <w:spacing w:before="120" w:after="120" w:line="240" w:lineRule="auto"/>
        <w:rPr>
          <w:rFonts w:ascii="Arial" w:eastAsia="Calibri" w:hAnsi="Arial" w:cs="Arial"/>
          <w:kern w:val="0"/>
          <w14:ligatures w14:val="none"/>
        </w:rPr>
      </w:pPr>
    </w:p>
    <w:p w14:paraId="0D6C14D1" w14:textId="77777777" w:rsidR="00181195" w:rsidRPr="007738CD" w:rsidRDefault="00181195" w:rsidP="007738CD">
      <w:pPr>
        <w:spacing w:before="120" w:after="120" w:line="240" w:lineRule="auto"/>
        <w:rPr>
          <w:rFonts w:ascii="Arial" w:eastAsia="Calibri" w:hAnsi="Arial" w:cs="Arial"/>
          <w:kern w:val="0"/>
          <w14:ligatures w14:val="none"/>
        </w:rPr>
      </w:pPr>
    </w:p>
    <w:p w14:paraId="066752EC" w14:textId="77777777" w:rsidR="00181195" w:rsidRPr="007738CD" w:rsidRDefault="00181195" w:rsidP="007738CD">
      <w:pPr>
        <w:spacing w:before="120" w:after="120" w:line="240" w:lineRule="auto"/>
        <w:rPr>
          <w:rFonts w:ascii="Arial" w:eastAsia="Calibri" w:hAnsi="Arial" w:cs="Arial"/>
          <w:kern w:val="0"/>
          <w14:ligatures w14:val="none"/>
        </w:rPr>
      </w:pPr>
    </w:p>
    <w:p w14:paraId="44E4D5AA" w14:textId="77777777" w:rsidR="00181195" w:rsidRPr="007738CD" w:rsidRDefault="00181195" w:rsidP="007738CD">
      <w:pPr>
        <w:spacing w:before="120" w:after="120" w:line="240" w:lineRule="auto"/>
        <w:rPr>
          <w:rFonts w:ascii="Arial" w:eastAsia="Calibri" w:hAnsi="Arial" w:cs="Arial"/>
          <w:kern w:val="0"/>
          <w14:ligatures w14:val="none"/>
        </w:rPr>
      </w:pPr>
    </w:p>
    <w:p w14:paraId="091F33E0" w14:textId="1943EEB3" w:rsidR="00D1269E" w:rsidRPr="007738CD" w:rsidRDefault="00D1269E" w:rsidP="007738CD">
      <w:pPr>
        <w:spacing w:before="120" w:after="120" w:line="240" w:lineRule="auto"/>
        <w:rPr>
          <w:rFonts w:ascii="Arial" w:eastAsia="Calibri" w:hAnsi="Arial" w:cs="Arial"/>
          <w:kern w:val="0"/>
          <w14:ligatures w14:val="none"/>
        </w:rPr>
      </w:pPr>
    </w:p>
    <w:p w14:paraId="0577C79D" w14:textId="13232521" w:rsidR="00181195" w:rsidRPr="007738CD" w:rsidRDefault="00181195" w:rsidP="007738CD">
      <w:pPr>
        <w:spacing w:before="120" w:after="120" w:line="240" w:lineRule="auto"/>
        <w:rPr>
          <w:rFonts w:ascii="Arial" w:eastAsia="Calibri" w:hAnsi="Arial" w:cs="Arial"/>
          <w:kern w:val="0"/>
          <w14:ligatures w14:val="none"/>
        </w:rPr>
      </w:pPr>
      <w:r w:rsidRPr="007738CD">
        <w:rPr>
          <w:rFonts w:ascii="Arial" w:hAnsi="Arial" w:cs="Arial"/>
        </w:rPr>
        <w:br w:type="page"/>
      </w:r>
      <w:r w:rsidRPr="007738CD">
        <w:rPr>
          <w:rFonts w:ascii="Arial" w:hAnsi="Arial" w:cs="Arial"/>
          <w:b/>
          <w:bCs/>
        </w:rPr>
        <w:lastRenderedPageBreak/>
        <w:t>EXECUTIVE SUMMARY</w:t>
      </w:r>
    </w:p>
    <w:p w14:paraId="643AD185" w14:textId="27FFAB80" w:rsidR="00181195" w:rsidRPr="007738CD" w:rsidRDefault="00704976" w:rsidP="007738CD">
      <w:pPr>
        <w:numPr>
          <w:ilvl w:val="0"/>
          <w:numId w:val="2"/>
        </w:numPr>
        <w:spacing w:before="120" w:after="120" w:line="240" w:lineRule="auto"/>
        <w:ind w:left="567"/>
        <w:rPr>
          <w:rFonts w:ascii="Arial" w:hAnsi="Arial" w:cs="Arial"/>
        </w:rPr>
      </w:pPr>
      <w:r w:rsidRPr="007738CD">
        <w:rPr>
          <w:rFonts w:ascii="Arial" w:hAnsi="Arial" w:cs="Arial"/>
        </w:rPr>
        <w:t xml:space="preserve">During 2025, the Fund voted </w:t>
      </w:r>
      <w:r w:rsidR="00014053" w:rsidRPr="007738CD">
        <w:rPr>
          <w:rFonts w:ascii="Arial" w:hAnsi="Arial" w:cs="Arial"/>
        </w:rPr>
        <w:t>24,018 re</w:t>
      </w:r>
      <w:r w:rsidR="00D450C9" w:rsidRPr="007738CD">
        <w:rPr>
          <w:rFonts w:ascii="Arial" w:hAnsi="Arial" w:cs="Arial"/>
        </w:rPr>
        <w:t xml:space="preserve">solutions at 1,720 meetings. </w:t>
      </w:r>
    </w:p>
    <w:p w14:paraId="73126522" w14:textId="5E7B1227" w:rsidR="00D450C9" w:rsidRPr="007738CD" w:rsidRDefault="000012F4" w:rsidP="007738CD">
      <w:pPr>
        <w:numPr>
          <w:ilvl w:val="0"/>
          <w:numId w:val="2"/>
        </w:numPr>
        <w:spacing w:before="120" w:after="120" w:line="240" w:lineRule="auto"/>
        <w:ind w:left="567"/>
        <w:rPr>
          <w:rFonts w:ascii="Arial" w:hAnsi="Arial" w:cs="Arial"/>
        </w:rPr>
      </w:pPr>
      <w:r w:rsidRPr="007738CD">
        <w:rPr>
          <w:rFonts w:ascii="Arial" w:hAnsi="Arial" w:cs="Arial"/>
        </w:rPr>
        <w:t>Of all the meetings voted by the Fun</w:t>
      </w:r>
      <w:r w:rsidR="00C74402" w:rsidRPr="007738CD">
        <w:rPr>
          <w:rFonts w:ascii="Arial" w:hAnsi="Arial" w:cs="Arial"/>
        </w:rPr>
        <w:t xml:space="preserve">d globally, 44.7% were held in the UK, </w:t>
      </w:r>
      <w:r w:rsidR="006D1C42" w:rsidRPr="007738CD">
        <w:rPr>
          <w:rFonts w:ascii="Arial" w:hAnsi="Arial" w:cs="Arial"/>
        </w:rPr>
        <w:t xml:space="preserve">34.2% in the US &amp; Canada and 17% in Europe. </w:t>
      </w:r>
      <w:r w:rsidR="00E84497" w:rsidRPr="007738CD">
        <w:rPr>
          <w:rFonts w:ascii="Arial" w:hAnsi="Arial" w:cs="Arial"/>
        </w:rPr>
        <w:t xml:space="preserve">Other regions </w:t>
      </w:r>
      <w:r w:rsidR="00E237A7" w:rsidRPr="007738CD">
        <w:rPr>
          <w:rFonts w:ascii="Arial" w:hAnsi="Arial" w:cs="Arial"/>
        </w:rPr>
        <w:t xml:space="preserve">accounted for only 4% of the meetings voted at. </w:t>
      </w:r>
    </w:p>
    <w:p w14:paraId="608A40A9" w14:textId="028D817B" w:rsidR="00510E7A" w:rsidRPr="007738CD" w:rsidRDefault="00DD6715" w:rsidP="007738CD">
      <w:pPr>
        <w:numPr>
          <w:ilvl w:val="0"/>
          <w:numId w:val="2"/>
        </w:numPr>
        <w:spacing w:before="120" w:after="120" w:line="240" w:lineRule="auto"/>
        <w:ind w:left="567"/>
        <w:rPr>
          <w:rFonts w:ascii="Arial" w:hAnsi="Arial" w:cs="Arial"/>
        </w:rPr>
      </w:pPr>
      <w:r w:rsidRPr="007738CD">
        <w:rPr>
          <w:rFonts w:ascii="Arial" w:hAnsi="Arial" w:cs="Arial"/>
        </w:rPr>
        <w:t xml:space="preserve">Of the 24,018 resolutions </w:t>
      </w:r>
      <w:r w:rsidR="00D92E1B" w:rsidRPr="007738CD">
        <w:rPr>
          <w:rFonts w:ascii="Arial" w:hAnsi="Arial" w:cs="Arial"/>
        </w:rPr>
        <w:t xml:space="preserve">the Fund </w:t>
      </w:r>
      <w:r w:rsidRPr="007738CD">
        <w:rPr>
          <w:rFonts w:ascii="Arial" w:hAnsi="Arial" w:cs="Arial"/>
        </w:rPr>
        <w:t xml:space="preserve">voted on, over half (52%) were </w:t>
      </w:r>
      <w:r w:rsidR="00F1676D" w:rsidRPr="007738CD">
        <w:rPr>
          <w:rFonts w:ascii="Arial" w:hAnsi="Arial" w:cs="Arial"/>
        </w:rPr>
        <w:t xml:space="preserve">director elections. </w:t>
      </w:r>
    </w:p>
    <w:p w14:paraId="49D0B759" w14:textId="4FB7EAF9" w:rsidR="00737C8D" w:rsidRPr="007738CD" w:rsidRDefault="00737C8D" w:rsidP="007738CD">
      <w:pPr>
        <w:numPr>
          <w:ilvl w:val="0"/>
          <w:numId w:val="2"/>
        </w:numPr>
        <w:spacing w:before="120" w:after="120" w:line="240" w:lineRule="auto"/>
        <w:ind w:left="567"/>
        <w:rPr>
          <w:rFonts w:ascii="Arial" w:hAnsi="Arial" w:cs="Arial"/>
        </w:rPr>
      </w:pPr>
      <w:r w:rsidRPr="007738CD">
        <w:rPr>
          <w:rFonts w:ascii="Arial" w:hAnsi="Arial" w:cs="Arial"/>
        </w:rPr>
        <w:t xml:space="preserve">The Fund voted </w:t>
      </w:r>
      <w:r w:rsidR="003F42E2" w:rsidRPr="007738CD">
        <w:rPr>
          <w:rFonts w:ascii="Arial" w:hAnsi="Arial" w:cs="Arial"/>
        </w:rPr>
        <w:t xml:space="preserve">on over 100 fewer shareholder resolutions </w:t>
      </w:r>
      <w:r w:rsidR="00622432" w:rsidRPr="007738CD">
        <w:rPr>
          <w:rFonts w:ascii="Arial" w:hAnsi="Arial" w:cs="Arial"/>
        </w:rPr>
        <w:t>when compared to 202</w:t>
      </w:r>
      <w:r w:rsidR="009375FA" w:rsidRPr="007738CD">
        <w:rPr>
          <w:rFonts w:ascii="Arial" w:hAnsi="Arial" w:cs="Arial"/>
        </w:rPr>
        <w:t>4</w:t>
      </w:r>
      <w:r w:rsidR="00622432" w:rsidRPr="007738CD">
        <w:rPr>
          <w:rFonts w:ascii="Arial" w:hAnsi="Arial" w:cs="Arial"/>
        </w:rPr>
        <w:t xml:space="preserve"> (518 </w:t>
      </w:r>
      <w:r w:rsidR="009375FA" w:rsidRPr="007738CD">
        <w:rPr>
          <w:rFonts w:ascii="Arial" w:hAnsi="Arial" w:cs="Arial"/>
        </w:rPr>
        <w:t xml:space="preserve">in 2025 </w:t>
      </w:r>
      <w:r w:rsidR="00622432" w:rsidRPr="007738CD">
        <w:rPr>
          <w:rFonts w:ascii="Arial" w:hAnsi="Arial" w:cs="Arial"/>
        </w:rPr>
        <w:t>vs 620</w:t>
      </w:r>
      <w:r w:rsidR="009375FA" w:rsidRPr="007738CD">
        <w:rPr>
          <w:rFonts w:ascii="Arial" w:hAnsi="Arial" w:cs="Arial"/>
        </w:rPr>
        <w:t xml:space="preserve"> in 2024</w:t>
      </w:r>
      <w:r w:rsidR="00622432" w:rsidRPr="007738CD">
        <w:rPr>
          <w:rFonts w:ascii="Arial" w:hAnsi="Arial" w:cs="Arial"/>
        </w:rPr>
        <w:t>)</w:t>
      </w:r>
      <w:r w:rsidR="009375FA" w:rsidRPr="007738CD">
        <w:rPr>
          <w:rFonts w:ascii="Arial" w:hAnsi="Arial" w:cs="Arial"/>
        </w:rPr>
        <w:t xml:space="preserve">. </w:t>
      </w:r>
      <w:r w:rsidR="009B63F6" w:rsidRPr="007738CD">
        <w:rPr>
          <w:rFonts w:ascii="Arial" w:hAnsi="Arial" w:cs="Arial"/>
        </w:rPr>
        <w:t xml:space="preserve">This is </w:t>
      </w:r>
      <w:r w:rsidR="001B0439" w:rsidRPr="007738CD">
        <w:rPr>
          <w:rFonts w:ascii="Arial" w:hAnsi="Arial" w:cs="Arial"/>
        </w:rPr>
        <w:t xml:space="preserve">likely due to the various regulatory developments in </w:t>
      </w:r>
      <w:r w:rsidR="002D4C2D" w:rsidRPr="007738CD">
        <w:rPr>
          <w:rFonts w:ascii="Arial" w:hAnsi="Arial" w:cs="Arial"/>
        </w:rPr>
        <w:t>the US where the SEC has restricted the use of these resolutions.</w:t>
      </w:r>
    </w:p>
    <w:p w14:paraId="13A906BE" w14:textId="0786C927" w:rsidR="009D7386" w:rsidRPr="007738CD" w:rsidRDefault="008A778D" w:rsidP="007738CD">
      <w:pPr>
        <w:numPr>
          <w:ilvl w:val="0"/>
          <w:numId w:val="2"/>
        </w:numPr>
        <w:spacing w:before="120" w:after="120" w:line="240" w:lineRule="auto"/>
        <w:ind w:left="567"/>
        <w:rPr>
          <w:rFonts w:ascii="Arial" w:hAnsi="Arial" w:cs="Arial"/>
        </w:rPr>
      </w:pPr>
      <w:r w:rsidRPr="007738CD">
        <w:rPr>
          <w:rFonts w:ascii="Arial" w:hAnsi="Arial" w:cs="Arial"/>
        </w:rPr>
        <w:t>Overall, t</w:t>
      </w:r>
      <w:r w:rsidR="00D92E1B" w:rsidRPr="007738CD">
        <w:rPr>
          <w:rFonts w:ascii="Arial" w:hAnsi="Arial" w:cs="Arial"/>
        </w:rPr>
        <w:t xml:space="preserve">he Fund supported 14,287 </w:t>
      </w:r>
      <w:r w:rsidR="002B658C" w:rsidRPr="007738CD">
        <w:rPr>
          <w:rFonts w:ascii="Arial" w:hAnsi="Arial" w:cs="Arial"/>
        </w:rPr>
        <w:t xml:space="preserve">resolutions </w:t>
      </w:r>
      <w:r w:rsidR="009D7386" w:rsidRPr="007738CD">
        <w:rPr>
          <w:rFonts w:ascii="Arial" w:hAnsi="Arial" w:cs="Arial"/>
        </w:rPr>
        <w:t>(</w:t>
      </w:r>
      <w:r w:rsidR="002B658C" w:rsidRPr="007738CD">
        <w:rPr>
          <w:rFonts w:ascii="Arial" w:hAnsi="Arial" w:cs="Arial"/>
        </w:rPr>
        <w:t>59% of the resolutions voted on</w:t>
      </w:r>
      <w:r w:rsidR="009D7386" w:rsidRPr="007738CD">
        <w:rPr>
          <w:rFonts w:ascii="Arial" w:hAnsi="Arial" w:cs="Arial"/>
        </w:rPr>
        <w:t>)</w:t>
      </w:r>
      <w:r w:rsidR="00803E0C" w:rsidRPr="007738CD">
        <w:rPr>
          <w:rFonts w:ascii="Arial" w:hAnsi="Arial" w:cs="Arial"/>
        </w:rPr>
        <w:t xml:space="preserve"> and opposed 8,879 resolutions </w:t>
      </w:r>
      <w:r w:rsidR="009D7386" w:rsidRPr="007738CD">
        <w:rPr>
          <w:rFonts w:ascii="Arial" w:hAnsi="Arial" w:cs="Arial"/>
        </w:rPr>
        <w:t>(</w:t>
      </w:r>
      <w:r w:rsidR="00803E0C" w:rsidRPr="007738CD">
        <w:rPr>
          <w:rFonts w:ascii="Arial" w:hAnsi="Arial" w:cs="Arial"/>
        </w:rPr>
        <w:t>37% of the resolutions voted</w:t>
      </w:r>
      <w:r w:rsidR="009D7386" w:rsidRPr="007738CD">
        <w:rPr>
          <w:rFonts w:ascii="Arial" w:hAnsi="Arial" w:cs="Arial"/>
        </w:rPr>
        <w:t>)</w:t>
      </w:r>
      <w:r w:rsidR="00803E0C" w:rsidRPr="007738CD">
        <w:rPr>
          <w:rFonts w:ascii="Arial" w:hAnsi="Arial" w:cs="Arial"/>
        </w:rPr>
        <w:t>.</w:t>
      </w:r>
    </w:p>
    <w:p w14:paraId="3F7E4E2A" w14:textId="0BB41315" w:rsidR="009D7386" w:rsidRPr="007738CD" w:rsidRDefault="004259EC" w:rsidP="007738CD">
      <w:pPr>
        <w:numPr>
          <w:ilvl w:val="0"/>
          <w:numId w:val="2"/>
        </w:numPr>
        <w:spacing w:before="120" w:after="120" w:line="240" w:lineRule="auto"/>
        <w:ind w:left="567"/>
        <w:rPr>
          <w:rFonts w:ascii="Arial" w:hAnsi="Arial" w:cs="Arial"/>
        </w:rPr>
      </w:pPr>
      <w:r w:rsidRPr="007738CD">
        <w:rPr>
          <w:rFonts w:ascii="Arial" w:hAnsi="Arial" w:cs="Arial"/>
        </w:rPr>
        <w:t>Despite the</w:t>
      </w:r>
      <w:r w:rsidR="00F26E2E" w:rsidRPr="007738CD">
        <w:rPr>
          <w:rFonts w:ascii="Arial" w:hAnsi="Arial" w:cs="Arial"/>
        </w:rPr>
        <w:t>ir</w:t>
      </w:r>
      <w:r w:rsidRPr="007738CD">
        <w:rPr>
          <w:rFonts w:ascii="Arial" w:hAnsi="Arial" w:cs="Arial"/>
        </w:rPr>
        <w:t xml:space="preserve"> significance</w:t>
      </w:r>
      <w:r w:rsidR="00F26E2E" w:rsidRPr="007738CD">
        <w:rPr>
          <w:rFonts w:ascii="Arial" w:hAnsi="Arial" w:cs="Arial"/>
        </w:rPr>
        <w:t>, levels of support for certain key resolutions rem</w:t>
      </w:r>
      <w:r w:rsidR="00C072AE" w:rsidRPr="007738CD">
        <w:rPr>
          <w:rFonts w:ascii="Arial" w:hAnsi="Arial" w:cs="Arial"/>
        </w:rPr>
        <w:t xml:space="preserve">ained low, including in </w:t>
      </w:r>
      <w:r w:rsidR="002B2AB4" w:rsidRPr="007738CD">
        <w:rPr>
          <w:rFonts w:ascii="Arial" w:hAnsi="Arial" w:cs="Arial"/>
        </w:rPr>
        <w:t xml:space="preserve">relation to the annual report and accounts </w:t>
      </w:r>
      <w:r w:rsidR="00C072AE" w:rsidRPr="007738CD">
        <w:rPr>
          <w:rFonts w:ascii="Arial" w:hAnsi="Arial" w:cs="Arial"/>
        </w:rPr>
        <w:t>(</w:t>
      </w:r>
      <w:r w:rsidR="00CB5084" w:rsidRPr="007738CD">
        <w:rPr>
          <w:rFonts w:ascii="Arial" w:hAnsi="Arial" w:cs="Arial"/>
        </w:rPr>
        <w:t>43.26</w:t>
      </w:r>
      <w:r w:rsidR="00C072AE" w:rsidRPr="007738CD">
        <w:rPr>
          <w:rFonts w:ascii="Arial" w:hAnsi="Arial" w:cs="Arial"/>
        </w:rPr>
        <w:t>%)</w:t>
      </w:r>
      <w:r w:rsidR="00CB5084" w:rsidRPr="007738CD">
        <w:rPr>
          <w:rFonts w:ascii="Arial" w:hAnsi="Arial" w:cs="Arial"/>
        </w:rPr>
        <w:t>, audit (50.24%)</w:t>
      </w:r>
      <w:r w:rsidR="00C072AE" w:rsidRPr="007738CD">
        <w:rPr>
          <w:rFonts w:ascii="Arial" w:hAnsi="Arial" w:cs="Arial"/>
        </w:rPr>
        <w:t xml:space="preserve"> </w:t>
      </w:r>
      <w:r w:rsidR="002B2AB4" w:rsidRPr="007738CD">
        <w:rPr>
          <w:rFonts w:ascii="Arial" w:hAnsi="Arial" w:cs="Arial"/>
        </w:rPr>
        <w:t xml:space="preserve">and </w:t>
      </w:r>
      <w:r w:rsidR="00ED03EF" w:rsidRPr="007738CD">
        <w:rPr>
          <w:rFonts w:ascii="Arial" w:hAnsi="Arial" w:cs="Arial"/>
        </w:rPr>
        <w:t>director elections</w:t>
      </w:r>
      <w:r w:rsidR="00C072AE" w:rsidRPr="007738CD">
        <w:rPr>
          <w:rFonts w:ascii="Arial" w:hAnsi="Arial" w:cs="Arial"/>
        </w:rPr>
        <w:t xml:space="preserve"> (</w:t>
      </w:r>
      <w:r w:rsidR="00CB5084" w:rsidRPr="007738CD">
        <w:rPr>
          <w:rFonts w:ascii="Arial" w:hAnsi="Arial" w:cs="Arial"/>
        </w:rPr>
        <w:t>59.75</w:t>
      </w:r>
      <w:r w:rsidR="00C072AE" w:rsidRPr="007738CD">
        <w:rPr>
          <w:rFonts w:ascii="Arial" w:hAnsi="Arial" w:cs="Arial"/>
        </w:rPr>
        <w:t xml:space="preserve">%). </w:t>
      </w:r>
    </w:p>
    <w:p w14:paraId="5C598565" w14:textId="20C65E46" w:rsidR="00FB71E0" w:rsidRPr="007738CD" w:rsidRDefault="00A856ED" w:rsidP="007738CD">
      <w:pPr>
        <w:numPr>
          <w:ilvl w:val="0"/>
          <w:numId w:val="2"/>
        </w:numPr>
        <w:spacing w:before="120" w:after="120" w:line="240" w:lineRule="auto"/>
        <w:ind w:left="567"/>
        <w:rPr>
          <w:rFonts w:ascii="Arial" w:hAnsi="Arial" w:cs="Arial"/>
        </w:rPr>
      </w:pPr>
      <w:r w:rsidRPr="007738CD">
        <w:rPr>
          <w:rFonts w:ascii="Arial" w:hAnsi="Arial" w:cs="Arial"/>
        </w:rPr>
        <w:t xml:space="preserve">The UK </w:t>
      </w:r>
      <w:r w:rsidR="00C85EFE" w:rsidRPr="007738CD">
        <w:rPr>
          <w:rFonts w:ascii="Arial" w:hAnsi="Arial" w:cs="Arial"/>
        </w:rPr>
        <w:t>(71.3%)</w:t>
      </w:r>
      <w:r w:rsidR="003F033D" w:rsidRPr="007738CD">
        <w:rPr>
          <w:rFonts w:ascii="Arial" w:hAnsi="Arial" w:cs="Arial"/>
        </w:rPr>
        <w:t>, As</w:t>
      </w:r>
      <w:r w:rsidR="00EF5C87" w:rsidRPr="007738CD">
        <w:rPr>
          <w:rFonts w:ascii="Arial" w:hAnsi="Arial" w:cs="Arial"/>
        </w:rPr>
        <w:t>ia</w:t>
      </w:r>
      <w:r w:rsidR="00FB71E0" w:rsidRPr="007738CD">
        <w:rPr>
          <w:rFonts w:ascii="Arial" w:hAnsi="Arial" w:cs="Arial"/>
        </w:rPr>
        <w:t xml:space="preserve"> (62.1%)</w:t>
      </w:r>
      <w:r w:rsidR="00EF5C87" w:rsidRPr="007738CD">
        <w:rPr>
          <w:rFonts w:ascii="Arial" w:hAnsi="Arial" w:cs="Arial"/>
        </w:rPr>
        <w:t xml:space="preserve"> and Europe</w:t>
      </w:r>
      <w:r w:rsidRPr="007738CD">
        <w:rPr>
          <w:rFonts w:ascii="Arial" w:hAnsi="Arial" w:cs="Arial"/>
        </w:rPr>
        <w:t xml:space="preserve"> </w:t>
      </w:r>
      <w:r w:rsidR="00FB71E0" w:rsidRPr="007738CD">
        <w:rPr>
          <w:rFonts w:ascii="Arial" w:hAnsi="Arial" w:cs="Arial"/>
        </w:rPr>
        <w:t xml:space="preserve">(60.7%) </w:t>
      </w:r>
      <w:r w:rsidR="00EF5C87" w:rsidRPr="007738CD">
        <w:rPr>
          <w:rFonts w:ascii="Arial" w:hAnsi="Arial" w:cs="Arial"/>
        </w:rPr>
        <w:t>have the</w:t>
      </w:r>
      <w:r w:rsidRPr="007738CD">
        <w:rPr>
          <w:rFonts w:ascii="Arial" w:hAnsi="Arial" w:cs="Arial"/>
        </w:rPr>
        <w:t xml:space="preserve"> highest levels of support</w:t>
      </w:r>
      <w:r w:rsidR="00FB71E0" w:rsidRPr="007738CD">
        <w:rPr>
          <w:rFonts w:ascii="Arial" w:hAnsi="Arial" w:cs="Arial"/>
        </w:rPr>
        <w:t>. This is followed by the Rest of the world (54.4%) and South America (45.9%).</w:t>
      </w:r>
    </w:p>
    <w:p w14:paraId="3F7ABF4A" w14:textId="62B2C004" w:rsidR="00A856ED" w:rsidRPr="007738CD" w:rsidRDefault="00FB71E0" w:rsidP="007738CD">
      <w:pPr>
        <w:numPr>
          <w:ilvl w:val="0"/>
          <w:numId w:val="2"/>
        </w:numPr>
        <w:spacing w:before="120" w:after="120" w:line="240" w:lineRule="auto"/>
        <w:ind w:left="567"/>
        <w:rPr>
          <w:rFonts w:ascii="Arial" w:hAnsi="Arial" w:cs="Arial"/>
        </w:rPr>
      </w:pPr>
      <w:r w:rsidRPr="007738CD">
        <w:rPr>
          <w:rFonts w:ascii="Arial" w:hAnsi="Arial" w:cs="Arial"/>
        </w:rPr>
        <w:t>T</w:t>
      </w:r>
      <w:r w:rsidR="00C85EFE" w:rsidRPr="007738CD">
        <w:rPr>
          <w:rFonts w:ascii="Arial" w:hAnsi="Arial" w:cs="Arial"/>
        </w:rPr>
        <w:t>he US &amp; Canada (</w:t>
      </w:r>
      <w:r w:rsidR="005A04B0" w:rsidRPr="007738CD">
        <w:rPr>
          <w:rFonts w:ascii="Arial" w:hAnsi="Arial" w:cs="Arial"/>
        </w:rPr>
        <w:t>43.8</w:t>
      </w:r>
      <w:r w:rsidR="00C85EFE" w:rsidRPr="007738CD">
        <w:rPr>
          <w:rFonts w:ascii="Arial" w:hAnsi="Arial" w:cs="Arial"/>
        </w:rPr>
        <w:t>%) have the lowest</w:t>
      </w:r>
      <w:r w:rsidRPr="007738CD">
        <w:rPr>
          <w:rFonts w:ascii="Arial" w:hAnsi="Arial" w:cs="Arial"/>
        </w:rPr>
        <w:t xml:space="preserve"> levels of support</w:t>
      </w:r>
      <w:r w:rsidR="00C85EFE" w:rsidRPr="007738CD">
        <w:rPr>
          <w:rFonts w:ascii="Arial" w:hAnsi="Arial" w:cs="Arial"/>
        </w:rPr>
        <w:t xml:space="preserve">. </w:t>
      </w:r>
    </w:p>
    <w:p w14:paraId="3AAFDD1E" w14:textId="7CD1B10D" w:rsidR="004525EC" w:rsidRPr="007738CD" w:rsidRDefault="00220664" w:rsidP="007738CD">
      <w:pPr>
        <w:numPr>
          <w:ilvl w:val="0"/>
          <w:numId w:val="2"/>
        </w:numPr>
        <w:spacing w:before="120" w:after="120" w:line="240" w:lineRule="auto"/>
        <w:ind w:left="567"/>
        <w:rPr>
          <w:rFonts w:ascii="Arial" w:hAnsi="Arial" w:cs="Arial"/>
        </w:rPr>
      </w:pPr>
      <w:r w:rsidRPr="007738CD">
        <w:rPr>
          <w:rFonts w:ascii="Arial" w:hAnsi="Arial" w:cs="Arial"/>
        </w:rPr>
        <w:t xml:space="preserve">In the UK, levels of support for remuneration-related resolutions </w:t>
      </w:r>
      <w:r w:rsidR="00C40EC1" w:rsidRPr="007738CD">
        <w:rPr>
          <w:rFonts w:ascii="Arial" w:hAnsi="Arial" w:cs="Arial"/>
        </w:rPr>
        <w:t>were low. The Fund only supported approximately 35% of votes on remuneration report</w:t>
      </w:r>
      <w:r w:rsidR="00F238D5" w:rsidRPr="007738CD">
        <w:rPr>
          <w:rFonts w:ascii="Arial" w:hAnsi="Arial" w:cs="Arial"/>
        </w:rPr>
        <w:t>s</w:t>
      </w:r>
      <w:r w:rsidR="00C40EC1" w:rsidRPr="007738CD">
        <w:rPr>
          <w:rFonts w:ascii="Arial" w:hAnsi="Arial" w:cs="Arial"/>
        </w:rPr>
        <w:t xml:space="preserve">, </w:t>
      </w:r>
      <w:r w:rsidR="00F238D5" w:rsidRPr="007738CD">
        <w:rPr>
          <w:rFonts w:ascii="Arial" w:hAnsi="Arial" w:cs="Arial"/>
        </w:rPr>
        <w:t>under 30% of votes on remuneration polic</w:t>
      </w:r>
      <w:r w:rsidR="00EF44F4" w:rsidRPr="007738CD">
        <w:rPr>
          <w:rFonts w:ascii="Arial" w:hAnsi="Arial" w:cs="Arial"/>
        </w:rPr>
        <w:t>ies</w:t>
      </w:r>
      <w:r w:rsidR="00F238D5" w:rsidRPr="007738CD">
        <w:rPr>
          <w:rFonts w:ascii="Arial" w:hAnsi="Arial" w:cs="Arial"/>
        </w:rPr>
        <w:t xml:space="preserve"> and </w:t>
      </w:r>
      <w:r w:rsidR="00EF44F4" w:rsidRPr="007738CD">
        <w:rPr>
          <w:rFonts w:ascii="Arial" w:hAnsi="Arial" w:cs="Arial"/>
        </w:rPr>
        <w:t>around 1% of say on pay resolutions.</w:t>
      </w:r>
    </w:p>
    <w:p w14:paraId="0D6C4E4B" w14:textId="05F5BDC8" w:rsidR="00181195" w:rsidRPr="007738CD" w:rsidRDefault="00181195" w:rsidP="007738CD">
      <w:pPr>
        <w:numPr>
          <w:ilvl w:val="0"/>
          <w:numId w:val="2"/>
        </w:numPr>
        <w:spacing w:before="120" w:after="120" w:line="240" w:lineRule="auto"/>
        <w:ind w:left="0"/>
        <w:rPr>
          <w:rFonts w:ascii="Arial" w:hAnsi="Arial" w:cs="Arial"/>
        </w:rPr>
      </w:pPr>
      <w:r w:rsidRPr="007738CD">
        <w:rPr>
          <w:rFonts w:ascii="Arial" w:hAnsi="Arial" w:cs="Arial"/>
        </w:rPr>
        <w:br w:type="page"/>
      </w:r>
    </w:p>
    <w:p w14:paraId="3A844B31" w14:textId="3664C248" w:rsidR="00181195" w:rsidRPr="007738CD" w:rsidRDefault="00181195" w:rsidP="007738CD">
      <w:pPr>
        <w:spacing w:before="120" w:after="120" w:line="240" w:lineRule="auto"/>
        <w:rPr>
          <w:rFonts w:ascii="Arial" w:hAnsi="Arial" w:cs="Arial"/>
          <w:b/>
          <w:bCs/>
        </w:rPr>
      </w:pPr>
      <w:r w:rsidRPr="007738CD">
        <w:rPr>
          <w:rFonts w:ascii="Arial" w:hAnsi="Arial" w:cs="Arial"/>
          <w:b/>
          <w:bCs/>
        </w:rPr>
        <w:lastRenderedPageBreak/>
        <w:t xml:space="preserve">Meetings at which the fund has </w:t>
      </w:r>
      <w:r w:rsidR="005E783B" w:rsidRPr="007738CD">
        <w:rPr>
          <w:rFonts w:ascii="Arial" w:hAnsi="Arial" w:cs="Arial"/>
          <w:b/>
          <w:bCs/>
        </w:rPr>
        <w:t>voted</w:t>
      </w:r>
      <w:r w:rsidRPr="007738CD">
        <w:rPr>
          <w:rFonts w:ascii="Arial" w:hAnsi="Arial" w:cs="Arial"/>
          <w:b/>
          <w:bCs/>
        </w:rPr>
        <w:t xml:space="preserve"> </w:t>
      </w:r>
    </w:p>
    <w:p w14:paraId="677626E3" w14:textId="52575C43" w:rsidR="00181195" w:rsidRPr="007738CD" w:rsidRDefault="00181195" w:rsidP="007738CD">
      <w:pPr>
        <w:spacing w:before="120" w:after="120" w:line="240" w:lineRule="auto"/>
        <w:rPr>
          <w:rFonts w:ascii="Arial" w:hAnsi="Arial" w:cs="Arial"/>
          <w:b/>
          <w:bCs/>
        </w:rPr>
      </w:pPr>
      <w:r w:rsidRPr="007738CD">
        <w:rPr>
          <w:rFonts w:ascii="Arial" w:hAnsi="Arial" w:cs="Arial"/>
          <w:b/>
          <w:bCs/>
        </w:rPr>
        <w:t xml:space="preserve">Number of meetings </w:t>
      </w:r>
    </w:p>
    <w:p w14:paraId="5461E557" w14:textId="07EDA080" w:rsidR="00681C93" w:rsidRPr="007738CD" w:rsidRDefault="00324C76" w:rsidP="007738CD">
      <w:pPr>
        <w:spacing w:before="120" w:after="120" w:line="240" w:lineRule="auto"/>
        <w:rPr>
          <w:rFonts w:ascii="Arial" w:hAnsi="Arial" w:cs="Arial"/>
        </w:rPr>
      </w:pPr>
      <w:r w:rsidRPr="007738CD">
        <w:rPr>
          <w:rFonts w:ascii="Arial" w:hAnsi="Arial" w:cs="Arial"/>
        </w:rPr>
        <w:t xml:space="preserve">During 2025, the Fund voted at 1,720 meetings. </w:t>
      </w:r>
      <w:r w:rsidR="006B4466" w:rsidRPr="007738CD">
        <w:rPr>
          <w:rFonts w:ascii="Arial" w:hAnsi="Arial" w:cs="Arial"/>
        </w:rPr>
        <w:t xml:space="preserve">This represents </w:t>
      </w:r>
      <w:r w:rsidR="001E110F" w:rsidRPr="007738CD">
        <w:rPr>
          <w:rFonts w:ascii="Arial" w:hAnsi="Arial" w:cs="Arial"/>
        </w:rPr>
        <w:t>a small increase on the 1,695 meetings the Fund voted</w:t>
      </w:r>
      <w:r w:rsidR="00AA599A" w:rsidRPr="007738CD">
        <w:rPr>
          <w:rFonts w:ascii="Arial" w:hAnsi="Arial" w:cs="Arial"/>
        </w:rPr>
        <w:t xml:space="preserve"> in 2024</w:t>
      </w:r>
      <w:r w:rsidR="00474DD3" w:rsidRPr="007738CD">
        <w:rPr>
          <w:rFonts w:ascii="Arial" w:hAnsi="Arial" w:cs="Arial"/>
        </w:rPr>
        <w:t xml:space="preserve"> and a sizeable increase </w:t>
      </w:r>
      <w:r w:rsidR="0044553D" w:rsidRPr="007738CD">
        <w:rPr>
          <w:rFonts w:ascii="Arial" w:hAnsi="Arial" w:cs="Arial"/>
        </w:rPr>
        <w:t xml:space="preserve">on the 679 meetings voted at in 2023. </w:t>
      </w:r>
      <w:r w:rsidR="00BC27CE" w:rsidRPr="007738CD">
        <w:rPr>
          <w:rFonts w:ascii="Arial" w:hAnsi="Arial" w:cs="Arial"/>
        </w:rPr>
        <w:t xml:space="preserve">The increase in meetings voted at </w:t>
      </w:r>
      <w:r w:rsidR="001C79AC" w:rsidRPr="007738CD">
        <w:rPr>
          <w:rFonts w:ascii="Arial" w:hAnsi="Arial" w:cs="Arial"/>
        </w:rPr>
        <w:t xml:space="preserve">for the last two years </w:t>
      </w:r>
      <w:r w:rsidR="006318A1" w:rsidRPr="007738CD">
        <w:rPr>
          <w:rFonts w:ascii="Arial" w:hAnsi="Arial" w:cs="Arial"/>
        </w:rPr>
        <w:t>is</w:t>
      </w:r>
      <w:r w:rsidR="001C79AC" w:rsidRPr="007738CD">
        <w:rPr>
          <w:rFonts w:ascii="Arial" w:hAnsi="Arial" w:cs="Arial"/>
        </w:rPr>
        <w:t xml:space="preserve"> due to Camden</w:t>
      </w:r>
      <w:r w:rsidR="008E00FC" w:rsidRPr="007738CD">
        <w:rPr>
          <w:rFonts w:ascii="Arial" w:hAnsi="Arial" w:cs="Arial"/>
        </w:rPr>
        <w:t xml:space="preserve"> </w:t>
      </w:r>
      <w:r w:rsidR="0070229A" w:rsidRPr="007738CD">
        <w:rPr>
          <w:rFonts w:ascii="Arial" w:hAnsi="Arial" w:cs="Arial"/>
        </w:rPr>
        <w:t xml:space="preserve">leadership on </w:t>
      </w:r>
      <w:r w:rsidR="001C79AC" w:rsidRPr="007738CD">
        <w:rPr>
          <w:rFonts w:ascii="Arial" w:hAnsi="Arial" w:cs="Arial"/>
        </w:rPr>
        <w:t>pass-through voting (PTV)</w:t>
      </w:r>
      <w:r w:rsidR="0070229A" w:rsidRPr="007738CD">
        <w:rPr>
          <w:rFonts w:ascii="Arial" w:hAnsi="Arial" w:cs="Arial"/>
        </w:rPr>
        <w:t xml:space="preserve"> enabling the fund to vote LGIM passive accounts</w:t>
      </w:r>
      <w:r w:rsidR="006318A1" w:rsidRPr="007738CD">
        <w:rPr>
          <w:rFonts w:ascii="Arial" w:hAnsi="Arial" w:cs="Arial"/>
        </w:rPr>
        <w:t xml:space="preserve">. </w:t>
      </w:r>
      <w:r w:rsidR="00E450E8" w:rsidRPr="007738CD">
        <w:rPr>
          <w:rFonts w:ascii="Arial" w:hAnsi="Arial" w:cs="Arial"/>
        </w:rPr>
        <w:t xml:space="preserve">This has resulted in </w:t>
      </w:r>
      <w:r w:rsidR="0017534C" w:rsidRPr="007738CD">
        <w:rPr>
          <w:rFonts w:ascii="Arial" w:hAnsi="Arial" w:cs="Arial"/>
        </w:rPr>
        <w:t xml:space="preserve">significant uptick in the number of Camden’s investments being voted on and directly in line with its policies. </w:t>
      </w:r>
    </w:p>
    <w:p w14:paraId="36AA0970" w14:textId="4589D94B" w:rsidR="00181195" w:rsidRPr="007738CD" w:rsidRDefault="00181195" w:rsidP="007738CD">
      <w:pPr>
        <w:spacing w:before="120" w:after="120" w:line="240" w:lineRule="auto"/>
        <w:rPr>
          <w:rFonts w:ascii="Arial" w:hAnsi="Arial" w:cs="Arial"/>
          <w:i/>
          <w:iCs/>
          <w:u w:val="single"/>
        </w:rPr>
      </w:pPr>
      <w:r w:rsidRPr="007738CD">
        <w:rPr>
          <w:rFonts w:ascii="Arial" w:hAnsi="Arial" w:cs="Arial"/>
          <w:i/>
          <w:iCs/>
          <w:u w:val="single"/>
        </w:rPr>
        <w:t xml:space="preserve">Table 1 – Number of meetings reported by region </w:t>
      </w:r>
    </w:p>
    <w:tbl>
      <w:tblPr>
        <w:tblStyle w:val="TableGrid"/>
        <w:tblW w:w="0" w:type="auto"/>
        <w:jc w:val="center"/>
        <w:tblLook w:val="04A0" w:firstRow="1" w:lastRow="0" w:firstColumn="1" w:lastColumn="0" w:noHBand="0" w:noVBand="1"/>
      </w:tblPr>
      <w:tblGrid>
        <w:gridCol w:w="3005"/>
        <w:gridCol w:w="1755"/>
        <w:gridCol w:w="1756"/>
      </w:tblGrid>
      <w:tr w:rsidR="007738CD" w:rsidRPr="007738CD" w14:paraId="7023E50E" w14:textId="77777777" w:rsidTr="0032585B">
        <w:trPr>
          <w:jc w:val="center"/>
        </w:trPr>
        <w:tc>
          <w:tcPr>
            <w:tcW w:w="3005" w:type="dxa"/>
            <w:shd w:val="clear" w:color="auto" w:fill="153D63" w:themeFill="text2" w:themeFillTint="E6"/>
          </w:tcPr>
          <w:p w14:paraId="2341AB0B" w14:textId="16799F4B" w:rsidR="00181195" w:rsidRPr="007738CD" w:rsidRDefault="00181195" w:rsidP="007738CD">
            <w:pPr>
              <w:rPr>
                <w:rFonts w:ascii="Arial" w:hAnsi="Arial" w:cs="Arial"/>
                <w:b/>
                <w:bCs/>
              </w:rPr>
            </w:pPr>
            <w:r w:rsidRPr="007738CD">
              <w:rPr>
                <w:rFonts w:ascii="Arial" w:hAnsi="Arial" w:cs="Arial"/>
                <w:b/>
                <w:bCs/>
              </w:rPr>
              <w:t>Region</w:t>
            </w:r>
          </w:p>
        </w:tc>
        <w:tc>
          <w:tcPr>
            <w:tcW w:w="1755" w:type="dxa"/>
            <w:shd w:val="clear" w:color="auto" w:fill="153D63" w:themeFill="text2" w:themeFillTint="E6"/>
          </w:tcPr>
          <w:p w14:paraId="294B84B0" w14:textId="3068CAF9" w:rsidR="00181195" w:rsidRPr="007738CD" w:rsidRDefault="00181195" w:rsidP="007738CD">
            <w:pPr>
              <w:rPr>
                <w:rFonts w:ascii="Arial" w:hAnsi="Arial" w:cs="Arial"/>
                <w:b/>
                <w:bCs/>
              </w:rPr>
            </w:pPr>
            <w:r w:rsidRPr="007738CD">
              <w:rPr>
                <w:rFonts w:ascii="Arial" w:hAnsi="Arial" w:cs="Arial"/>
                <w:b/>
                <w:bCs/>
              </w:rPr>
              <w:t>Number</w:t>
            </w:r>
          </w:p>
        </w:tc>
        <w:tc>
          <w:tcPr>
            <w:tcW w:w="1756" w:type="dxa"/>
            <w:shd w:val="clear" w:color="auto" w:fill="153D63" w:themeFill="text2" w:themeFillTint="E6"/>
          </w:tcPr>
          <w:p w14:paraId="512E168C" w14:textId="3DC82EDC" w:rsidR="00181195" w:rsidRPr="007738CD" w:rsidRDefault="00181195" w:rsidP="007738CD">
            <w:pPr>
              <w:rPr>
                <w:rFonts w:ascii="Arial" w:hAnsi="Arial" w:cs="Arial"/>
                <w:b/>
                <w:bCs/>
              </w:rPr>
            </w:pPr>
            <w:r w:rsidRPr="007738CD">
              <w:rPr>
                <w:rFonts w:ascii="Arial" w:hAnsi="Arial" w:cs="Arial"/>
                <w:b/>
                <w:bCs/>
              </w:rPr>
              <w:t>Percentage</w:t>
            </w:r>
          </w:p>
        </w:tc>
      </w:tr>
      <w:tr w:rsidR="007738CD" w:rsidRPr="007738CD" w14:paraId="556DDF21" w14:textId="77777777" w:rsidTr="0032585B">
        <w:trPr>
          <w:jc w:val="center"/>
        </w:trPr>
        <w:tc>
          <w:tcPr>
            <w:tcW w:w="3005" w:type="dxa"/>
            <w:shd w:val="clear" w:color="auto" w:fill="DAE9F7" w:themeFill="text2" w:themeFillTint="1A"/>
          </w:tcPr>
          <w:p w14:paraId="2C172F04" w14:textId="6566DE76" w:rsidR="00AF443E" w:rsidRPr="007738CD" w:rsidRDefault="00AF443E" w:rsidP="007738CD">
            <w:pPr>
              <w:rPr>
                <w:rFonts w:ascii="Arial" w:hAnsi="Arial" w:cs="Arial"/>
              </w:rPr>
            </w:pPr>
            <w:r w:rsidRPr="007738CD">
              <w:rPr>
                <w:rFonts w:ascii="Arial" w:hAnsi="Arial" w:cs="Arial"/>
              </w:rPr>
              <w:t>UK &amp; British Overseas</w:t>
            </w:r>
          </w:p>
        </w:tc>
        <w:tc>
          <w:tcPr>
            <w:tcW w:w="1755" w:type="dxa"/>
          </w:tcPr>
          <w:p w14:paraId="107379B5" w14:textId="6796C0B8" w:rsidR="00AF443E" w:rsidRPr="007738CD" w:rsidRDefault="00AF443E" w:rsidP="007738CD">
            <w:pPr>
              <w:rPr>
                <w:rFonts w:ascii="Arial" w:hAnsi="Arial" w:cs="Arial"/>
              </w:rPr>
            </w:pPr>
            <w:r w:rsidRPr="007738CD">
              <w:rPr>
                <w:rFonts w:ascii="Arial" w:hAnsi="Arial" w:cs="Arial"/>
              </w:rPr>
              <w:t>769</w:t>
            </w:r>
          </w:p>
        </w:tc>
        <w:tc>
          <w:tcPr>
            <w:tcW w:w="1756" w:type="dxa"/>
          </w:tcPr>
          <w:p w14:paraId="3910D2A5" w14:textId="47315AAC" w:rsidR="00AF443E" w:rsidRPr="007738CD" w:rsidRDefault="00AF443E" w:rsidP="007738CD">
            <w:pPr>
              <w:rPr>
                <w:rFonts w:ascii="Arial" w:hAnsi="Arial" w:cs="Arial"/>
              </w:rPr>
            </w:pPr>
            <w:r w:rsidRPr="007738CD">
              <w:rPr>
                <w:rFonts w:ascii="Arial" w:hAnsi="Arial" w:cs="Arial"/>
              </w:rPr>
              <w:t>44.7%</w:t>
            </w:r>
          </w:p>
        </w:tc>
      </w:tr>
      <w:tr w:rsidR="007738CD" w:rsidRPr="007738CD" w14:paraId="6793DB7D" w14:textId="77777777" w:rsidTr="0032585B">
        <w:trPr>
          <w:jc w:val="center"/>
        </w:trPr>
        <w:tc>
          <w:tcPr>
            <w:tcW w:w="3005" w:type="dxa"/>
            <w:shd w:val="clear" w:color="auto" w:fill="DAE9F7" w:themeFill="text2" w:themeFillTint="1A"/>
          </w:tcPr>
          <w:p w14:paraId="7315D0FF" w14:textId="17328B9A" w:rsidR="00AF443E" w:rsidRPr="007738CD" w:rsidRDefault="00AF443E" w:rsidP="007738CD">
            <w:pPr>
              <w:rPr>
                <w:rFonts w:ascii="Arial" w:hAnsi="Arial" w:cs="Arial"/>
              </w:rPr>
            </w:pPr>
            <w:r w:rsidRPr="007738CD">
              <w:rPr>
                <w:rFonts w:ascii="Arial" w:hAnsi="Arial" w:cs="Arial"/>
              </w:rPr>
              <w:t>Europe and Global EU</w:t>
            </w:r>
          </w:p>
        </w:tc>
        <w:tc>
          <w:tcPr>
            <w:tcW w:w="1755" w:type="dxa"/>
          </w:tcPr>
          <w:p w14:paraId="26FFC8F0" w14:textId="7E60061F" w:rsidR="00AF443E" w:rsidRPr="007738CD" w:rsidRDefault="00AF443E" w:rsidP="007738CD">
            <w:pPr>
              <w:rPr>
                <w:rFonts w:ascii="Arial" w:hAnsi="Arial" w:cs="Arial"/>
              </w:rPr>
            </w:pPr>
            <w:r w:rsidRPr="007738CD">
              <w:rPr>
                <w:rFonts w:ascii="Arial" w:hAnsi="Arial" w:cs="Arial"/>
              </w:rPr>
              <w:t>292</w:t>
            </w:r>
          </w:p>
        </w:tc>
        <w:tc>
          <w:tcPr>
            <w:tcW w:w="1756" w:type="dxa"/>
          </w:tcPr>
          <w:p w14:paraId="3DCC743B" w14:textId="4B7061E8" w:rsidR="00AF443E" w:rsidRPr="007738CD" w:rsidRDefault="00AF443E" w:rsidP="007738CD">
            <w:pPr>
              <w:rPr>
                <w:rFonts w:ascii="Arial" w:hAnsi="Arial" w:cs="Arial"/>
              </w:rPr>
            </w:pPr>
            <w:r w:rsidRPr="007738CD">
              <w:rPr>
                <w:rFonts w:ascii="Arial" w:hAnsi="Arial" w:cs="Arial"/>
              </w:rPr>
              <w:t>17.0%</w:t>
            </w:r>
          </w:p>
        </w:tc>
      </w:tr>
      <w:tr w:rsidR="007738CD" w:rsidRPr="007738CD" w14:paraId="2CBA6A79" w14:textId="77777777" w:rsidTr="0032585B">
        <w:trPr>
          <w:jc w:val="center"/>
        </w:trPr>
        <w:tc>
          <w:tcPr>
            <w:tcW w:w="3005" w:type="dxa"/>
            <w:shd w:val="clear" w:color="auto" w:fill="DAE9F7" w:themeFill="text2" w:themeFillTint="1A"/>
          </w:tcPr>
          <w:p w14:paraId="2E58455E" w14:textId="0693B493" w:rsidR="00AF443E" w:rsidRPr="007738CD" w:rsidRDefault="00AF443E" w:rsidP="007738CD">
            <w:pPr>
              <w:rPr>
                <w:rFonts w:ascii="Arial" w:hAnsi="Arial" w:cs="Arial"/>
              </w:rPr>
            </w:pPr>
            <w:r w:rsidRPr="007738CD">
              <w:rPr>
                <w:rFonts w:ascii="Arial" w:hAnsi="Arial" w:cs="Arial"/>
              </w:rPr>
              <w:t>USA &amp; Canada</w:t>
            </w:r>
          </w:p>
        </w:tc>
        <w:tc>
          <w:tcPr>
            <w:tcW w:w="1755" w:type="dxa"/>
          </w:tcPr>
          <w:p w14:paraId="0B6A03C3" w14:textId="32083F37" w:rsidR="00AF443E" w:rsidRPr="007738CD" w:rsidRDefault="00AF443E" w:rsidP="007738CD">
            <w:pPr>
              <w:rPr>
                <w:rFonts w:ascii="Arial" w:hAnsi="Arial" w:cs="Arial"/>
              </w:rPr>
            </w:pPr>
            <w:r w:rsidRPr="007738CD">
              <w:rPr>
                <w:rFonts w:ascii="Arial" w:hAnsi="Arial" w:cs="Arial"/>
              </w:rPr>
              <w:t>589</w:t>
            </w:r>
          </w:p>
        </w:tc>
        <w:tc>
          <w:tcPr>
            <w:tcW w:w="1756" w:type="dxa"/>
          </w:tcPr>
          <w:p w14:paraId="7D1F16CB" w14:textId="3168F0ED" w:rsidR="00AF443E" w:rsidRPr="007738CD" w:rsidRDefault="00AF443E" w:rsidP="007738CD">
            <w:pPr>
              <w:rPr>
                <w:rFonts w:ascii="Arial" w:hAnsi="Arial" w:cs="Arial"/>
              </w:rPr>
            </w:pPr>
            <w:r w:rsidRPr="007738CD">
              <w:rPr>
                <w:rFonts w:ascii="Arial" w:hAnsi="Arial" w:cs="Arial"/>
              </w:rPr>
              <w:t>34.2%</w:t>
            </w:r>
          </w:p>
        </w:tc>
      </w:tr>
      <w:tr w:rsidR="007738CD" w:rsidRPr="007738CD" w14:paraId="5A041712" w14:textId="77777777" w:rsidTr="0032585B">
        <w:trPr>
          <w:jc w:val="center"/>
        </w:trPr>
        <w:tc>
          <w:tcPr>
            <w:tcW w:w="3005" w:type="dxa"/>
            <w:shd w:val="clear" w:color="auto" w:fill="DAE9F7" w:themeFill="text2" w:themeFillTint="1A"/>
          </w:tcPr>
          <w:p w14:paraId="06938033" w14:textId="2FB792AE" w:rsidR="00AF443E" w:rsidRPr="007738CD" w:rsidRDefault="00AF443E" w:rsidP="007738CD">
            <w:pPr>
              <w:rPr>
                <w:rFonts w:ascii="Arial" w:hAnsi="Arial" w:cs="Arial"/>
              </w:rPr>
            </w:pPr>
            <w:r w:rsidRPr="007738CD">
              <w:rPr>
                <w:rFonts w:ascii="Arial" w:hAnsi="Arial" w:cs="Arial"/>
              </w:rPr>
              <w:t>Asia</w:t>
            </w:r>
          </w:p>
        </w:tc>
        <w:tc>
          <w:tcPr>
            <w:tcW w:w="1755" w:type="dxa"/>
          </w:tcPr>
          <w:p w14:paraId="63A9C8A4" w14:textId="016DF8E0" w:rsidR="00AF443E" w:rsidRPr="007738CD" w:rsidRDefault="00AF443E" w:rsidP="007738CD">
            <w:pPr>
              <w:rPr>
                <w:rFonts w:ascii="Arial" w:hAnsi="Arial" w:cs="Arial"/>
              </w:rPr>
            </w:pPr>
            <w:r w:rsidRPr="007738CD">
              <w:rPr>
                <w:rFonts w:ascii="Arial" w:hAnsi="Arial" w:cs="Arial"/>
              </w:rPr>
              <w:t>3</w:t>
            </w:r>
          </w:p>
        </w:tc>
        <w:tc>
          <w:tcPr>
            <w:tcW w:w="1756" w:type="dxa"/>
          </w:tcPr>
          <w:p w14:paraId="03832A8D" w14:textId="21EF804D" w:rsidR="00AF443E" w:rsidRPr="007738CD" w:rsidRDefault="00AF443E" w:rsidP="007738CD">
            <w:pPr>
              <w:rPr>
                <w:rFonts w:ascii="Arial" w:hAnsi="Arial" w:cs="Arial"/>
              </w:rPr>
            </w:pPr>
            <w:r w:rsidRPr="007738CD">
              <w:rPr>
                <w:rFonts w:ascii="Arial" w:hAnsi="Arial" w:cs="Arial"/>
              </w:rPr>
              <w:t>0.2%</w:t>
            </w:r>
          </w:p>
        </w:tc>
      </w:tr>
      <w:tr w:rsidR="007738CD" w:rsidRPr="007738CD" w14:paraId="5BD110AE" w14:textId="77777777" w:rsidTr="0032585B">
        <w:trPr>
          <w:jc w:val="center"/>
        </w:trPr>
        <w:tc>
          <w:tcPr>
            <w:tcW w:w="3005" w:type="dxa"/>
            <w:shd w:val="clear" w:color="auto" w:fill="DAE9F7" w:themeFill="text2" w:themeFillTint="1A"/>
          </w:tcPr>
          <w:p w14:paraId="69F6020D" w14:textId="1AD846DA" w:rsidR="00AF443E" w:rsidRPr="007738CD" w:rsidRDefault="00AF443E" w:rsidP="007738CD">
            <w:pPr>
              <w:rPr>
                <w:rFonts w:ascii="Arial" w:hAnsi="Arial" w:cs="Arial"/>
              </w:rPr>
            </w:pPr>
            <w:r w:rsidRPr="007738CD">
              <w:rPr>
                <w:rFonts w:ascii="Arial" w:hAnsi="Arial" w:cs="Arial"/>
              </w:rPr>
              <w:t>Australia &amp; New Zealand</w:t>
            </w:r>
          </w:p>
        </w:tc>
        <w:tc>
          <w:tcPr>
            <w:tcW w:w="1755" w:type="dxa"/>
          </w:tcPr>
          <w:p w14:paraId="1DB997DF" w14:textId="72F15F52" w:rsidR="00AF443E" w:rsidRPr="007738CD" w:rsidRDefault="00AF443E" w:rsidP="007738CD">
            <w:pPr>
              <w:rPr>
                <w:rFonts w:ascii="Arial" w:hAnsi="Arial" w:cs="Arial"/>
              </w:rPr>
            </w:pPr>
            <w:r w:rsidRPr="007738CD">
              <w:rPr>
                <w:rFonts w:ascii="Arial" w:hAnsi="Arial" w:cs="Arial"/>
              </w:rPr>
              <w:t>0</w:t>
            </w:r>
          </w:p>
        </w:tc>
        <w:tc>
          <w:tcPr>
            <w:tcW w:w="1756" w:type="dxa"/>
          </w:tcPr>
          <w:p w14:paraId="7404161B" w14:textId="7C19D965" w:rsidR="00AF443E" w:rsidRPr="007738CD" w:rsidRDefault="00AF443E" w:rsidP="007738CD">
            <w:pPr>
              <w:rPr>
                <w:rFonts w:ascii="Arial" w:hAnsi="Arial" w:cs="Arial"/>
              </w:rPr>
            </w:pPr>
            <w:r w:rsidRPr="007738CD">
              <w:rPr>
                <w:rFonts w:ascii="Arial" w:hAnsi="Arial" w:cs="Arial"/>
              </w:rPr>
              <w:t>0%</w:t>
            </w:r>
          </w:p>
        </w:tc>
      </w:tr>
      <w:tr w:rsidR="007738CD" w:rsidRPr="007738CD" w14:paraId="3B238284" w14:textId="77777777" w:rsidTr="0032585B">
        <w:trPr>
          <w:jc w:val="center"/>
        </w:trPr>
        <w:tc>
          <w:tcPr>
            <w:tcW w:w="3005" w:type="dxa"/>
            <w:shd w:val="clear" w:color="auto" w:fill="DAE9F7" w:themeFill="text2" w:themeFillTint="1A"/>
          </w:tcPr>
          <w:p w14:paraId="372A4BA9" w14:textId="3D56EAA0" w:rsidR="00AF443E" w:rsidRPr="007738CD" w:rsidRDefault="00AF443E" w:rsidP="007738CD">
            <w:pPr>
              <w:rPr>
                <w:rFonts w:ascii="Arial" w:hAnsi="Arial" w:cs="Arial"/>
              </w:rPr>
            </w:pPr>
            <w:r w:rsidRPr="007738CD">
              <w:rPr>
                <w:rFonts w:ascii="Arial" w:hAnsi="Arial" w:cs="Arial"/>
              </w:rPr>
              <w:t>South America</w:t>
            </w:r>
          </w:p>
        </w:tc>
        <w:tc>
          <w:tcPr>
            <w:tcW w:w="1755" w:type="dxa"/>
          </w:tcPr>
          <w:p w14:paraId="6CA56FFA" w14:textId="069D180C" w:rsidR="00AF443E" w:rsidRPr="007738CD" w:rsidRDefault="00AF443E" w:rsidP="007738CD">
            <w:pPr>
              <w:rPr>
                <w:rFonts w:ascii="Arial" w:hAnsi="Arial" w:cs="Arial"/>
              </w:rPr>
            </w:pPr>
            <w:r w:rsidRPr="007738CD">
              <w:rPr>
                <w:rFonts w:ascii="Arial" w:hAnsi="Arial" w:cs="Arial"/>
              </w:rPr>
              <w:t>61</w:t>
            </w:r>
          </w:p>
        </w:tc>
        <w:tc>
          <w:tcPr>
            <w:tcW w:w="1756" w:type="dxa"/>
          </w:tcPr>
          <w:p w14:paraId="21C5C501" w14:textId="06B5E637" w:rsidR="00AF443E" w:rsidRPr="007738CD" w:rsidRDefault="00AF443E" w:rsidP="007738CD">
            <w:pPr>
              <w:rPr>
                <w:rFonts w:ascii="Arial" w:hAnsi="Arial" w:cs="Arial"/>
              </w:rPr>
            </w:pPr>
            <w:r w:rsidRPr="007738CD">
              <w:rPr>
                <w:rFonts w:ascii="Arial" w:hAnsi="Arial" w:cs="Arial"/>
              </w:rPr>
              <w:t>3.5%</w:t>
            </w:r>
          </w:p>
        </w:tc>
      </w:tr>
      <w:tr w:rsidR="007738CD" w:rsidRPr="007738CD" w14:paraId="54A4DDAF" w14:textId="77777777" w:rsidTr="0032585B">
        <w:trPr>
          <w:jc w:val="center"/>
        </w:trPr>
        <w:tc>
          <w:tcPr>
            <w:tcW w:w="3005" w:type="dxa"/>
            <w:shd w:val="clear" w:color="auto" w:fill="DAE9F7" w:themeFill="text2" w:themeFillTint="1A"/>
          </w:tcPr>
          <w:p w14:paraId="189EE7E1" w14:textId="6B507DA0" w:rsidR="00AF443E" w:rsidRPr="007738CD" w:rsidRDefault="00AF443E" w:rsidP="007738CD">
            <w:pPr>
              <w:rPr>
                <w:rFonts w:ascii="Arial" w:hAnsi="Arial" w:cs="Arial"/>
              </w:rPr>
            </w:pPr>
            <w:r w:rsidRPr="007738CD">
              <w:rPr>
                <w:rFonts w:ascii="Arial" w:hAnsi="Arial" w:cs="Arial"/>
              </w:rPr>
              <w:t xml:space="preserve">Rest of the world </w:t>
            </w:r>
          </w:p>
        </w:tc>
        <w:tc>
          <w:tcPr>
            <w:tcW w:w="1755" w:type="dxa"/>
          </w:tcPr>
          <w:p w14:paraId="23325E02" w14:textId="53B03E81" w:rsidR="00AF443E" w:rsidRPr="007738CD" w:rsidRDefault="00AF443E" w:rsidP="007738CD">
            <w:pPr>
              <w:rPr>
                <w:rFonts w:ascii="Arial" w:hAnsi="Arial" w:cs="Arial"/>
              </w:rPr>
            </w:pPr>
            <w:r w:rsidRPr="007738CD">
              <w:rPr>
                <w:rFonts w:ascii="Arial" w:hAnsi="Arial" w:cs="Arial"/>
              </w:rPr>
              <w:t>6</w:t>
            </w:r>
          </w:p>
        </w:tc>
        <w:tc>
          <w:tcPr>
            <w:tcW w:w="1756" w:type="dxa"/>
          </w:tcPr>
          <w:p w14:paraId="5E4D4033" w14:textId="0B4D7C76" w:rsidR="00AF443E" w:rsidRPr="007738CD" w:rsidRDefault="00AF443E" w:rsidP="007738CD">
            <w:pPr>
              <w:rPr>
                <w:rFonts w:ascii="Arial" w:hAnsi="Arial" w:cs="Arial"/>
              </w:rPr>
            </w:pPr>
            <w:r w:rsidRPr="007738CD">
              <w:rPr>
                <w:rFonts w:ascii="Arial" w:hAnsi="Arial" w:cs="Arial"/>
              </w:rPr>
              <w:t>0.3%</w:t>
            </w:r>
          </w:p>
        </w:tc>
      </w:tr>
      <w:tr w:rsidR="007738CD" w:rsidRPr="007738CD" w14:paraId="200C277F" w14:textId="77777777" w:rsidTr="0032585B">
        <w:trPr>
          <w:jc w:val="center"/>
        </w:trPr>
        <w:tc>
          <w:tcPr>
            <w:tcW w:w="3005" w:type="dxa"/>
            <w:shd w:val="clear" w:color="auto" w:fill="153D63" w:themeFill="text2" w:themeFillTint="E6"/>
          </w:tcPr>
          <w:p w14:paraId="29DCD820" w14:textId="3FE9606A" w:rsidR="00AF443E" w:rsidRPr="007738CD" w:rsidRDefault="00AF443E" w:rsidP="007738CD">
            <w:pPr>
              <w:rPr>
                <w:rFonts w:ascii="Arial" w:hAnsi="Arial" w:cs="Arial"/>
                <w:b/>
                <w:bCs/>
              </w:rPr>
            </w:pPr>
            <w:r w:rsidRPr="007738CD">
              <w:rPr>
                <w:rFonts w:ascii="Arial" w:hAnsi="Arial" w:cs="Arial"/>
                <w:b/>
                <w:bCs/>
              </w:rPr>
              <w:t>Total</w:t>
            </w:r>
          </w:p>
        </w:tc>
        <w:tc>
          <w:tcPr>
            <w:tcW w:w="1755" w:type="dxa"/>
            <w:shd w:val="clear" w:color="auto" w:fill="153D63" w:themeFill="text2" w:themeFillTint="E6"/>
          </w:tcPr>
          <w:p w14:paraId="185BFFDF" w14:textId="358210CC" w:rsidR="00AF443E" w:rsidRPr="007738CD" w:rsidRDefault="00AF443E" w:rsidP="007738CD">
            <w:pPr>
              <w:rPr>
                <w:rFonts w:ascii="Arial" w:hAnsi="Arial" w:cs="Arial"/>
                <w:b/>
                <w:bCs/>
              </w:rPr>
            </w:pPr>
            <w:r w:rsidRPr="007738CD">
              <w:rPr>
                <w:rFonts w:ascii="Arial" w:hAnsi="Arial" w:cs="Arial"/>
                <w:b/>
                <w:bCs/>
              </w:rPr>
              <w:t>1,720</w:t>
            </w:r>
          </w:p>
        </w:tc>
        <w:tc>
          <w:tcPr>
            <w:tcW w:w="1756" w:type="dxa"/>
            <w:shd w:val="clear" w:color="auto" w:fill="153D63" w:themeFill="text2" w:themeFillTint="E6"/>
          </w:tcPr>
          <w:p w14:paraId="1C73C2FD" w14:textId="7E688522" w:rsidR="00AF443E" w:rsidRPr="007738CD" w:rsidRDefault="00AF443E" w:rsidP="007738CD">
            <w:pPr>
              <w:rPr>
                <w:rFonts w:ascii="Arial" w:hAnsi="Arial" w:cs="Arial"/>
                <w:b/>
                <w:bCs/>
              </w:rPr>
            </w:pPr>
            <w:r w:rsidRPr="007738CD">
              <w:rPr>
                <w:rFonts w:ascii="Arial" w:hAnsi="Arial" w:cs="Arial"/>
                <w:b/>
                <w:bCs/>
              </w:rPr>
              <w:t>100%</w:t>
            </w:r>
          </w:p>
        </w:tc>
      </w:tr>
    </w:tbl>
    <w:p w14:paraId="3082ADA3" w14:textId="77777777" w:rsidR="00181195" w:rsidRPr="007738CD" w:rsidRDefault="00181195" w:rsidP="007738CD">
      <w:pPr>
        <w:spacing w:before="120" w:after="120" w:line="240" w:lineRule="auto"/>
        <w:rPr>
          <w:rFonts w:ascii="Arial" w:hAnsi="Arial" w:cs="Arial"/>
        </w:rPr>
      </w:pPr>
    </w:p>
    <w:p w14:paraId="65BB3F0C" w14:textId="648DAC88" w:rsidR="00256732" w:rsidRPr="007738CD" w:rsidRDefault="00256732" w:rsidP="007738CD">
      <w:pPr>
        <w:spacing w:before="120" w:after="120" w:line="240" w:lineRule="auto"/>
        <w:rPr>
          <w:rFonts w:ascii="Arial" w:hAnsi="Arial" w:cs="Arial"/>
          <w:b/>
          <w:bCs/>
        </w:rPr>
      </w:pPr>
      <w:r w:rsidRPr="007738CD">
        <w:rPr>
          <w:rFonts w:ascii="Arial" w:hAnsi="Arial" w:cs="Arial"/>
          <w:b/>
          <w:bCs/>
        </w:rPr>
        <w:t>Meetings by region</w:t>
      </w:r>
    </w:p>
    <w:p w14:paraId="126449B6" w14:textId="3DA45E1C" w:rsidR="000506A9" w:rsidRPr="007738CD" w:rsidRDefault="000506A9" w:rsidP="007738CD">
      <w:pPr>
        <w:spacing w:before="120" w:after="120" w:line="240" w:lineRule="auto"/>
        <w:rPr>
          <w:rFonts w:ascii="Arial" w:hAnsi="Arial" w:cs="Arial"/>
          <w:i/>
          <w:iCs/>
          <w:u w:val="single"/>
        </w:rPr>
      </w:pPr>
      <w:r w:rsidRPr="007738CD">
        <w:rPr>
          <w:rFonts w:ascii="Arial" w:hAnsi="Arial" w:cs="Arial"/>
          <w:i/>
          <w:iCs/>
          <w:u w:val="single"/>
        </w:rPr>
        <w:t>Figure 1 – Number of meetings by region in 2025 vs 2024</w:t>
      </w:r>
    </w:p>
    <w:p w14:paraId="245825C7" w14:textId="76F7AF8F" w:rsidR="00513D12" w:rsidRPr="007738CD" w:rsidRDefault="0004069A" w:rsidP="007738CD">
      <w:pPr>
        <w:spacing w:before="120" w:after="120" w:line="240" w:lineRule="auto"/>
        <w:rPr>
          <w:rFonts w:ascii="Arial" w:hAnsi="Arial" w:cs="Arial"/>
        </w:rPr>
      </w:pPr>
      <w:r w:rsidRPr="007738CD">
        <w:rPr>
          <w:rFonts w:ascii="Arial" w:hAnsi="Arial" w:cs="Arial"/>
          <w:noProof/>
        </w:rPr>
        <w:drawing>
          <wp:inline distT="0" distB="0" distL="0" distR="0" wp14:anchorId="1716FCA9" wp14:editId="67E78EAC">
            <wp:extent cx="4572000" cy="2743200"/>
            <wp:effectExtent l="0" t="0" r="0" b="0"/>
            <wp:docPr id="967261583" name="Chart 1">
              <a:extLst xmlns:a="http://schemas.openxmlformats.org/drawingml/2006/main">
                <a:ext uri="{FF2B5EF4-FFF2-40B4-BE49-F238E27FC236}">
                  <a16:creationId xmlns:a16="http://schemas.microsoft.com/office/drawing/2014/main" id="{1BCC050A-926B-8D5E-D396-0FACAF5A64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AD3A5D" w14:textId="05834145" w:rsidR="00197FE1" w:rsidRPr="007738CD" w:rsidRDefault="000F0797" w:rsidP="007738CD">
      <w:pPr>
        <w:spacing w:before="120" w:after="120" w:line="240" w:lineRule="auto"/>
        <w:rPr>
          <w:rFonts w:ascii="Arial" w:hAnsi="Arial" w:cs="Arial"/>
        </w:rPr>
      </w:pPr>
      <w:r w:rsidRPr="007738CD">
        <w:rPr>
          <w:rFonts w:ascii="Arial" w:hAnsi="Arial" w:cs="Arial"/>
        </w:rPr>
        <w:t>A continued tre</w:t>
      </w:r>
      <w:r w:rsidR="00844AC2" w:rsidRPr="007738CD">
        <w:rPr>
          <w:rFonts w:ascii="Arial" w:hAnsi="Arial" w:cs="Arial"/>
        </w:rPr>
        <w:t xml:space="preserve">nd for Camden is its voting presence in particular regions. Camden </w:t>
      </w:r>
      <w:r w:rsidR="00C7039A" w:rsidRPr="007738CD">
        <w:rPr>
          <w:rFonts w:ascii="Arial" w:hAnsi="Arial" w:cs="Arial"/>
        </w:rPr>
        <w:t xml:space="preserve">continues to vote at more meetings in British and Overseas territories compared to other individual regions. </w:t>
      </w:r>
      <w:r w:rsidR="00FA5F3B" w:rsidRPr="007738CD">
        <w:rPr>
          <w:rFonts w:ascii="Arial" w:hAnsi="Arial" w:cs="Arial"/>
        </w:rPr>
        <w:t xml:space="preserve">Similar to 2024, the US &amp; Canadian markets followed by </w:t>
      </w:r>
      <w:r w:rsidR="00553422" w:rsidRPr="007738CD">
        <w:rPr>
          <w:rFonts w:ascii="Arial" w:hAnsi="Arial" w:cs="Arial"/>
        </w:rPr>
        <w:t xml:space="preserve">the European markets were the second and third most voted regions, respectively. Meetings voted </w:t>
      </w:r>
      <w:r w:rsidR="0013410B" w:rsidRPr="007738CD">
        <w:rPr>
          <w:rFonts w:ascii="Arial" w:hAnsi="Arial" w:cs="Arial"/>
        </w:rPr>
        <w:t>at across other regions</w:t>
      </w:r>
      <w:r w:rsidR="0017150A" w:rsidRPr="007738CD">
        <w:rPr>
          <w:rFonts w:ascii="Arial" w:hAnsi="Arial" w:cs="Arial"/>
        </w:rPr>
        <w:t>, including regions such as South America, Asia</w:t>
      </w:r>
      <w:r w:rsidR="00B91551" w:rsidRPr="007738CD">
        <w:rPr>
          <w:rFonts w:ascii="Arial" w:hAnsi="Arial" w:cs="Arial"/>
        </w:rPr>
        <w:t xml:space="preserve">, Australia and New Zealand continue to only represent a small proportion of Camden’s voting activity. </w:t>
      </w:r>
    </w:p>
    <w:p w14:paraId="15529057" w14:textId="3E04F605" w:rsidR="00B91551" w:rsidRPr="007738CD" w:rsidRDefault="00B334D8" w:rsidP="007738CD">
      <w:pPr>
        <w:spacing w:before="120" w:after="120" w:line="240" w:lineRule="auto"/>
        <w:rPr>
          <w:rFonts w:ascii="Arial" w:hAnsi="Arial" w:cs="Arial"/>
        </w:rPr>
      </w:pPr>
      <w:r w:rsidRPr="007738CD">
        <w:rPr>
          <w:rFonts w:ascii="Arial" w:hAnsi="Arial" w:cs="Arial"/>
        </w:rPr>
        <w:t xml:space="preserve">Interestingly, there was a small decrease in Camden’s voting exposure to US </w:t>
      </w:r>
      <w:r w:rsidR="00E96831" w:rsidRPr="007738CD">
        <w:rPr>
          <w:rFonts w:ascii="Arial" w:hAnsi="Arial" w:cs="Arial"/>
        </w:rPr>
        <w:t xml:space="preserve">&amp; Canadian markets and other regions, whilst there was a small increase in voting activity in UK and European markets. </w:t>
      </w:r>
    </w:p>
    <w:p w14:paraId="694AA2EF" w14:textId="77777777" w:rsidR="007738CD" w:rsidRDefault="007738CD">
      <w:pPr>
        <w:rPr>
          <w:rFonts w:ascii="Arial" w:hAnsi="Arial" w:cs="Arial"/>
          <w:b/>
          <w:bCs/>
        </w:rPr>
      </w:pPr>
      <w:r>
        <w:rPr>
          <w:rFonts w:ascii="Arial" w:hAnsi="Arial" w:cs="Arial"/>
          <w:b/>
          <w:bCs/>
        </w:rPr>
        <w:br w:type="page"/>
      </w:r>
    </w:p>
    <w:p w14:paraId="1446B3B0" w14:textId="784E2767" w:rsidR="00197FE1" w:rsidRPr="007738CD" w:rsidRDefault="00D40BBC" w:rsidP="007738CD">
      <w:pPr>
        <w:spacing w:before="120" w:after="120" w:line="240" w:lineRule="auto"/>
        <w:rPr>
          <w:rFonts w:ascii="Arial" w:hAnsi="Arial" w:cs="Arial"/>
          <w:b/>
          <w:bCs/>
        </w:rPr>
      </w:pPr>
      <w:r w:rsidRPr="007738CD">
        <w:rPr>
          <w:rFonts w:ascii="Arial" w:hAnsi="Arial" w:cs="Arial"/>
          <w:b/>
          <w:bCs/>
        </w:rPr>
        <w:lastRenderedPageBreak/>
        <w:t>Meetings by type</w:t>
      </w:r>
    </w:p>
    <w:p w14:paraId="655481F2" w14:textId="0636A6D4" w:rsidR="00450593" w:rsidRPr="007738CD" w:rsidRDefault="00D60909" w:rsidP="007738CD">
      <w:pPr>
        <w:spacing w:before="120" w:after="120" w:line="240" w:lineRule="auto"/>
        <w:rPr>
          <w:rFonts w:ascii="Arial" w:hAnsi="Arial" w:cs="Arial"/>
          <w:i/>
          <w:iCs/>
          <w:u w:val="single"/>
        </w:rPr>
      </w:pPr>
      <w:r w:rsidRPr="007738CD">
        <w:rPr>
          <w:rFonts w:ascii="Arial" w:hAnsi="Arial" w:cs="Arial"/>
          <w:i/>
          <w:iCs/>
          <w:u w:val="single"/>
        </w:rPr>
        <w:t>Table</w:t>
      </w:r>
      <w:r w:rsidR="00450593" w:rsidRPr="007738CD">
        <w:rPr>
          <w:rFonts w:ascii="Arial" w:hAnsi="Arial" w:cs="Arial"/>
          <w:i/>
          <w:iCs/>
          <w:u w:val="single"/>
        </w:rPr>
        <w:t xml:space="preserve"> 2 – Meetings by type </w:t>
      </w:r>
    </w:p>
    <w:tbl>
      <w:tblPr>
        <w:tblStyle w:val="TableGrid"/>
        <w:tblW w:w="0" w:type="auto"/>
        <w:jc w:val="center"/>
        <w:tblLook w:val="04A0" w:firstRow="1" w:lastRow="0" w:firstColumn="1" w:lastColumn="0" w:noHBand="0" w:noVBand="1"/>
      </w:tblPr>
      <w:tblGrid>
        <w:gridCol w:w="3005"/>
        <w:gridCol w:w="1755"/>
      </w:tblGrid>
      <w:tr w:rsidR="007738CD" w:rsidRPr="007738CD" w14:paraId="70886522" w14:textId="77777777" w:rsidTr="0032585B">
        <w:trPr>
          <w:jc w:val="center"/>
        </w:trPr>
        <w:tc>
          <w:tcPr>
            <w:tcW w:w="3005" w:type="dxa"/>
            <w:shd w:val="clear" w:color="auto" w:fill="153D63" w:themeFill="text2" w:themeFillTint="E6"/>
          </w:tcPr>
          <w:p w14:paraId="73F525B0" w14:textId="77777777" w:rsidR="0032585B" w:rsidRPr="007738CD" w:rsidRDefault="0032585B" w:rsidP="007738CD">
            <w:pPr>
              <w:rPr>
                <w:rFonts w:ascii="Arial" w:hAnsi="Arial" w:cs="Arial"/>
                <w:b/>
                <w:bCs/>
              </w:rPr>
            </w:pPr>
            <w:r w:rsidRPr="007738CD">
              <w:rPr>
                <w:rFonts w:ascii="Arial" w:hAnsi="Arial" w:cs="Arial"/>
                <w:b/>
                <w:bCs/>
              </w:rPr>
              <w:t>Region</w:t>
            </w:r>
          </w:p>
        </w:tc>
        <w:tc>
          <w:tcPr>
            <w:tcW w:w="1755" w:type="dxa"/>
            <w:shd w:val="clear" w:color="auto" w:fill="153D63" w:themeFill="text2" w:themeFillTint="E6"/>
          </w:tcPr>
          <w:p w14:paraId="1EB3BDE3" w14:textId="77777777" w:rsidR="0032585B" w:rsidRPr="007738CD" w:rsidRDefault="0032585B" w:rsidP="007738CD">
            <w:pPr>
              <w:rPr>
                <w:rFonts w:ascii="Arial" w:hAnsi="Arial" w:cs="Arial"/>
                <w:b/>
                <w:bCs/>
              </w:rPr>
            </w:pPr>
            <w:r w:rsidRPr="007738CD">
              <w:rPr>
                <w:rFonts w:ascii="Arial" w:hAnsi="Arial" w:cs="Arial"/>
                <w:b/>
                <w:bCs/>
              </w:rPr>
              <w:t>Number</w:t>
            </w:r>
          </w:p>
        </w:tc>
      </w:tr>
      <w:tr w:rsidR="007738CD" w:rsidRPr="007738CD" w14:paraId="7FEDB366" w14:textId="77777777" w:rsidTr="0032585B">
        <w:trPr>
          <w:jc w:val="center"/>
        </w:trPr>
        <w:tc>
          <w:tcPr>
            <w:tcW w:w="3005" w:type="dxa"/>
            <w:shd w:val="clear" w:color="auto" w:fill="DAE9F7" w:themeFill="text2" w:themeFillTint="1A"/>
          </w:tcPr>
          <w:p w14:paraId="3B9CC7FB" w14:textId="28BCAE85" w:rsidR="0032585B" w:rsidRPr="007738CD" w:rsidRDefault="0032585B" w:rsidP="007738CD">
            <w:pPr>
              <w:rPr>
                <w:rFonts w:ascii="Arial" w:hAnsi="Arial" w:cs="Arial"/>
              </w:rPr>
            </w:pPr>
            <w:r w:rsidRPr="007738CD">
              <w:rPr>
                <w:rFonts w:ascii="Arial" w:hAnsi="Arial" w:cs="Arial"/>
              </w:rPr>
              <w:t>AGM</w:t>
            </w:r>
          </w:p>
        </w:tc>
        <w:tc>
          <w:tcPr>
            <w:tcW w:w="1755" w:type="dxa"/>
          </w:tcPr>
          <w:p w14:paraId="08B0C121" w14:textId="642F2009" w:rsidR="0032585B" w:rsidRPr="007738CD" w:rsidRDefault="0032585B" w:rsidP="007738CD">
            <w:pPr>
              <w:rPr>
                <w:rFonts w:ascii="Arial" w:hAnsi="Arial" w:cs="Arial"/>
              </w:rPr>
            </w:pPr>
            <w:r w:rsidRPr="007738CD">
              <w:rPr>
                <w:rFonts w:ascii="Arial" w:hAnsi="Arial" w:cs="Arial"/>
              </w:rPr>
              <w:t>1,451</w:t>
            </w:r>
          </w:p>
        </w:tc>
      </w:tr>
      <w:tr w:rsidR="007738CD" w:rsidRPr="007738CD" w14:paraId="5AEBE70A" w14:textId="77777777" w:rsidTr="0032585B">
        <w:trPr>
          <w:jc w:val="center"/>
        </w:trPr>
        <w:tc>
          <w:tcPr>
            <w:tcW w:w="3005" w:type="dxa"/>
            <w:shd w:val="clear" w:color="auto" w:fill="DAE9F7" w:themeFill="text2" w:themeFillTint="1A"/>
          </w:tcPr>
          <w:p w14:paraId="5D085AE5" w14:textId="1D4F51DE" w:rsidR="0032585B" w:rsidRPr="007738CD" w:rsidRDefault="0032585B" w:rsidP="007738CD">
            <w:pPr>
              <w:rPr>
                <w:rFonts w:ascii="Arial" w:hAnsi="Arial" w:cs="Arial"/>
              </w:rPr>
            </w:pPr>
            <w:r w:rsidRPr="007738CD">
              <w:rPr>
                <w:rFonts w:ascii="Arial" w:hAnsi="Arial" w:cs="Arial"/>
              </w:rPr>
              <w:t>EGM</w:t>
            </w:r>
          </w:p>
        </w:tc>
        <w:tc>
          <w:tcPr>
            <w:tcW w:w="1755" w:type="dxa"/>
          </w:tcPr>
          <w:p w14:paraId="2493F35C" w14:textId="127D390C" w:rsidR="0032585B" w:rsidRPr="007738CD" w:rsidRDefault="0032585B" w:rsidP="007738CD">
            <w:pPr>
              <w:rPr>
                <w:rFonts w:ascii="Arial" w:hAnsi="Arial" w:cs="Arial"/>
              </w:rPr>
            </w:pPr>
            <w:r w:rsidRPr="007738CD">
              <w:rPr>
                <w:rFonts w:ascii="Arial" w:hAnsi="Arial" w:cs="Arial"/>
              </w:rPr>
              <w:t>237</w:t>
            </w:r>
          </w:p>
        </w:tc>
      </w:tr>
      <w:tr w:rsidR="007738CD" w:rsidRPr="007738CD" w14:paraId="1734AE31" w14:textId="77777777" w:rsidTr="0032585B">
        <w:trPr>
          <w:jc w:val="center"/>
        </w:trPr>
        <w:tc>
          <w:tcPr>
            <w:tcW w:w="3005" w:type="dxa"/>
            <w:shd w:val="clear" w:color="auto" w:fill="DAE9F7" w:themeFill="text2" w:themeFillTint="1A"/>
          </w:tcPr>
          <w:p w14:paraId="270B4393" w14:textId="758CFBFC" w:rsidR="0032585B" w:rsidRPr="007738CD" w:rsidRDefault="0032585B" w:rsidP="007738CD">
            <w:pPr>
              <w:rPr>
                <w:rFonts w:ascii="Arial" w:hAnsi="Arial" w:cs="Arial"/>
              </w:rPr>
            </w:pPr>
            <w:r w:rsidRPr="007738CD">
              <w:rPr>
                <w:rFonts w:ascii="Arial" w:hAnsi="Arial" w:cs="Arial"/>
              </w:rPr>
              <w:t>Court</w:t>
            </w:r>
          </w:p>
        </w:tc>
        <w:tc>
          <w:tcPr>
            <w:tcW w:w="1755" w:type="dxa"/>
          </w:tcPr>
          <w:p w14:paraId="762C292E" w14:textId="240DA06A" w:rsidR="0032585B" w:rsidRPr="007738CD" w:rsidRDefault="0032585B" w:rsidP="007738CD">
            <w:pPr>
              <w:rPr>
                <w:rFonts w:ascii="Arial" w:hAnsi="Arial" w:cs="Arial"/>
              </w:rPr>
            </w:pPr>
            <w:r w:rsidRPr="007738CD">
              <w:rPr>
                <w:rFonts w:ascii="Arial" w:hAnsi="Arial" w:cs="Arial"/>
              </w:rPr>
              <w:t>28</w:t>
            </w:r>
          </w:p>
        </w:tc>
      </w:tr>
      <w:tr w:rsidR="007738CD" w:rsidRPr="007738CD" w14:paraId="15CC7C0A" w14:textId="77777777" w:rsidTr="0032585B">
        <w:trPr>
          <w:jc w:val="center"/>
        </w:trPr>
        <w:tc>
          <w:tcPr>
            <w:tcW w:w="3005" w:type="dxa"/>
            <w:shd w:val="clear" w:color="auto" w:fill="DAE9F7" w:themeFill="text2" w:themeFillTint="1A"/>
          </w:tcPr>
          <w:p w14:paraId="5B0B579B" w14:textId="1A4A9D2C" w:rsidR="0032585B" w:rsidRPr="007738CD" w:rsidRDefault="0032585B" w:rsidP="007738CD">
            <w:pPr>
              <w:rPr>
                <w:rFonts w:ascii="Arial" w:hAnsi="Arial" w:cs="Arial"/>
              </w:rPr>
            </w:pPr>
            <w:r w:rsidRPr="007738CD">
              <w:rPr>
                <w:rFonts w:ascii="Arial" w:hAnsi="Arial" w:cs="Arial"/>
              </w:rPr>
              <w:t>Class</w:t>
            </w:r>
          </w:p>
        </w:tc>
        <w:tc>
          <w:tcPr>
            <w:tcW w:w="1755" w:type="dxa"/>
          </w:tcPr>
          <w:p w14:paraId="5D2CABED" w14:textId="6FAE47A9" w:rsidR="0032585B" w:rsidRPr="007738CD" w:rsidRDefault="0032585B" w:rsidP="007738CD">
            <w:pPr>
              <w:rPr>
                <w:rFonts w:ascii="Arial" w:hAnsi="Arial" w:cs="Arial"/>
              </w:rPr>
            </w:pPr>
            <w:r w:rsidRPr="007738CD">
              <w:rPr>
                <w:rFonts w:ascii="Arial" w:hAnsi="Arial" w:cs="Arial"/>
              </w:rPr>
              <w:t>4</w:t>
            </w:r>
          </w:p>
        </w:tc>
      </w:tr>
      <w:tr w:rsidR="007738CD" w:rsidRPr="007738CD" w14:paraId="09A95061" w14:textId="77777777" w:rsidTr="0032585B">
        <w:trPr>
          <w:jc w:val="center"/>
        </w:trPr>
        <w:tc>
          <w:tcPr>
            <w:tcW w:w="3005" w:type="dxa"/>
            <w:shd w:val="clear" w:color="auto" w:fill="153D63" w:themeFill="text2" w:themeFillTint="E6"/>
          </w:tcPr>
          <w:p w14:paraId="5D73DBF0" w14:textId="77777777" w:rsidR="0032585B" w:rsidRPr="007738CD" w:rsidRDefault="0032585B" w:rsidP="007738CD">
            <w:pPr>
              <w:rPr>
                <w:rFonts w:ascii="Arial" w:hAnsi="Arial" w:cs="Arial"/>
                <w:b/>
                <w:bCs/>
              </w:rPr>
            </w:pPr>
            <w:r w:rsidRPr="007738CD">
              <w:rPr>
                <w:rFonts w:ascii="Arial" w:hAnsi="Arial" w:cs="Arial"/>
                <w:b/>
                <w:bCs/>
              </w:rPr>
              <w:t>Total</w:t>
            </w:r>
          </w:p>
        </w:tc>
        <w:tc>
          <w:tcPr>
            <w:tcW w:w="1755" w:type="dxa"/>
            <w:shd w:val="clear" w:color="auto" w:fill="153D63" w:themeFill="text2" w:themeFillTint="E6"/>
          </w:tcPr>
          <w:p w14:paraId="40C9680B" w14:textId="0C0011B6" w:rsidR="0032585B" w:rsidRPr="007738CD" w:rsidRDefault="0032585B" w:rsidP="007738CD">
            <w:pPr>
              <w:rPr>
                <w:rFonts w:ascii="Arial" w:hAnsi="Arial" w:cs="Arial"/>
                <w:b/>
                <w:bCs/>
              </w:rPr>
            </w:pPr>
            <w:r w:rsidRPr="007738CD">
              <w:rPr>
                <w:rFonts w:ascii="Arial" w:hAnsi="Arial" w:cs="Arial"/>
                <w:b/>
                <w:bCs/>
              </w:rPr>
              <w:t>1,720</w:t>
            </w:r>
          </w:p>
        </w:tc>
      </w:tr>
    </w:tbl>
    <w:p w14:paraId="011D4969" w14:textId="77777777" w:rsidR="007229FD" w:rsidRPr="007738CD" w:rsidRDefault="007229FD" w:rsidP="007738CD">
      <w:pPr>
        <w:spacing w:before="120" w:after="120" w:line="240" w:lineRule="auto"/>
        <w:rPr>
          <w:rFonts w:ascii="Arial" w:hAnsi="Arial" w:cs="Arial"/>
        </w:rPr>
      </w:pPr>
    </w:p>
    <w:p w14:paraId="5B4E58BA" w14:textId="080E9B65" w:rsidR="00DE4966" w:rsidRPr="007738CD" w:rsidRDefault="00797E51" w:rsidP="007738CD">
      <w:pPr>
        <w:spacing w:before="120" w:after="120" w:line="240" w:lineRule="auto"/>
        <w:rPr>
          <w:rFonts w:ascii="Arial" w:hAnsi="Arial" w:cs="Arial"/>
        </w:rPr>
      </w:pPr>
      <w:r w:rsidRPr="007738CD">
        <w:rPr>
          <w:rFonts w:ascii="Arial" w:hAnsi="Arial" w:cs="Arial"/>
        </w:rPr>
        <w:t xml:space="preserve">The vast majority </w:t>
      </w:r>
      <w:r w:rsidR="00F97416" w:rsidRPr="007738CD">
        <w:rPr>
          <w:rFonts w:ascii="Arial" w:hAnsi="Arial" w:cs="Arial"/>
        </w:rPr>
        <w:t>of meetings are Annual General Meetings (AGMs)</w:t>
      </w:r>
      <w:r w:rsidR="0028395B" w:rsidRPr="007738CD">
        <w:rPr>
          <w:rFonts w:ascii="Arial" w:hAnsi="Arial" w:cs="Arial"/>
        </w:rPr>
        <w:t>, which companies are required to conduct on an annu</w:t>
      </w:r>
      <w:r w:rsidR="00C12D77" w:rsidRPr="007738CD">
        <w:rPr>
          <w:rFonts w:ascii="Arial" w:hAnsi="Arial" w:cs="Arial"/>
        </w:rPr>
        <w:t>a</w:t>
      </w:r>
      <w:r w:rsidR="0028395B" w:rsidRPr="007738CD">
        <w:rPr>
          <w:rFonts w:ascii="Arial" w:hAnsi="Arial" w:cs="Arial"/>
        </w:rPr>
        <w:t xml:space="preserve">l basis </w:t>
      </w:r>
      <w:r w:rsidR="00214EBD" w:rsidRPr="007738CD">
        <w:rPr>
          <w:rFonts w:ascii="Arial" w:hAnsi="Arial" w:cs="Arial"/>
        </w:rPr>
        <w:t xml:space="preserve">to </w:t>
      </w:r>
      <w:r w:rsidR="007A3BAE" w:rsidRPr="007738CD">
        <w:rPr>
          <w:rFonts w:ascii="Arial" w:hAnsi="Arial" w:cs="Arial"/>
        </w:rPr>
        <w:t>provide shareholders with the ability to vote on a range of ma</w:t>
      </w:r>
      <w:r w:rsidR="006B6DB0" w:rsidRPr="007738CD">
        <w:rPr>
          <w:rFonts w:ascii="Arial" w:hAnsi="Arial" w:cs="Arial"/>
        </w:rPr>
        <w:t xml:space="preserve">tters. </w:t>
      </w:r>
      <w:r w:rsidR="008F0D20" w:rsidRPr="007738CD">
        <w:rPr>
          <w:rFonts w:ascii="Arial" w:hAnsi="Arial" w:cs="Arial"/>
        </w:rPr>
        <w:t xml:space="preserve">The number of AGMs voted at </w:t>
      </w:r>
      <w:r w:rsidR="002E71B3" w:rsidRPr="007738CD">
        <w:rPr>
          <w:rFonts w:ascii="Arial" w:hAnsi="Arial" w:cs="Arial"/>
        </w:rPr>
        <w:t xml:space="preserve">increased </w:t>
      </w:r>
      <w:r w:rsidR="00FB20F4" w:rsidRPr="007738CD">
        <w:rPr>
          <w:rFonts w:ascii="Arial" w:hAnsi="Arial" w:cs="Arial"/>
        </w:rPr>
        <w:t xml:space="preserve">marginally compared to 2024 </w:t>
      </w:r>
      <w:r w:rsidR="00B8634C" w:rsidRPr="007738CD">
        <w:rPr>
          <w:rFonts w:ascii="Arial" w:hAnsi="Arial" w:cs="Arial"/>
        </w:rPr>
        <w:t>but</w:t>
      </w:r>
      <w:r w:rsidR="00FB20F4" w:rsidRPr="007738CD">
        <w:rPr>
          <w:rFonts w:ascii="Arial" w:hAnsi="Arial" w:cs="Arial"/>
        </w:rPr>
        <w:t xml:space="preserve"> remained roughly in line in proportional terms</w:t>
      </w:r>
      <w:r w:rsidR="00847458" w:rsidRPr="007738CD">
        <w:rPr>
          <w:rFonts w:ascii="Arial" w:hAnsi="Arial" w:cs="Arial"/>
        </w:rPr>
        <w:t xml:space="preserve"> (84.3% in 2025 vs 85.3% in 2024)</w:t>
      </w:r>
      <w:r w:rsidR="00FB20F4" w:rsidRPr="007738CD">
        <w:rPr>
          <w:rFonts w:ascii="Arial" w:hAnsi="Arial" w:cs="Arial"/>
        </w:rPr>
        <w:t xml:space="preserve">. </w:t>
      </w:r>
      <w:r w:rsidR="009418E6" w:rsidRPr="007738CD">
        <w:rPr>
          <w:rFonts w:ascii="Arial" w:hAnsi="Arial" w:cs="Arial"/>
        </w:rPr>
        <w:t xml:space="preserve">For other meetings, </w:t>
      </w:r>
      <w:r w:rsidR="009F561F" w:rsidRPr="007738CD">
        <w:rPr>
          <w:rFonts w:ascii="Arial" w:hAnsi="Arial" w:cs="Arial"/>
        </w:rPr>
        <w:t>around 14% were Extraordina</w:t>
      </w:r>
      <w:r w:rsidR="0026410A" w:rsidRPr="007738CD">
        <w:rPr>
          <w:rFonts w:ascii="Arial" w:hAnsi="Arial" w:cs="Arial"/>
        </w:rPr>
        <w:t>ry</w:t>
      </w:r>
      <w:r w:rsidR="009F561F" w:rsidRPr="007738CD">
        <w:rPr>
          <w:rFonts w:ascii="Arial" w:hAnsi="Arial" w:cs="Arial"/>
        </w:rPr>
        <w:t xml:space="preserve"> General Meetings</w:t>
      </w:r>
      <w:r w:rsidR="0042021E" w:rsidRPr="007738CD">
        <w:rPr>
          <w:rStyle w:val="FootnoteReference"/>
          <w:rFonts w:ascii="Arial" w:hAnsi="Arial" w:cs="Arial"/>
        </w:rPr>
        <w:footnoteReference w:id="1"/>
      </w:r>
      <w:r w:rsidR="009F561F" w:rsidRPr="007738CD">
        <w:rPr>
          <w:rFonts w:ascii="Arial" w:hAnsi="Arial" w:cs="Arial"/>
        </w:rPr>
        <w:t>, while Court meetings</w:t>
      </w:r>
      <w:r w:rsidR="007626F7" w:rsidRPr="007738CD">
        <w:rPr>
          <w:rStyle w:val="FootnoteReference"/>
          <w:rFonts w:ascii="Arial" w:hAnsi="Arial" w:cs="Arial"/>
        </w:rPr>
        <w:footnoteReference w:id="2"/>
      </w:r>
      <w:r w:rsidR="009F561F" w:rsidRPr="007738CD">
        <w:rPr>
          <w:rFonts w:ascii="Arial" w:hAnsi="Arial" w:cs="Arial"/>
        </w:rPr>
        <w:t xml:space="preserve"> represented </w:t>
      </w:r>
      <w:r w:rsidR="007431DC" w:rsidRPr="007738CD">
        <w:rPr>
          <w:rFonts w:ascii="Arial" w:hAnsi="Arial" w:cs="Arial"/>
        </w:rPr>
        <w:t>1.6</w:t>
      </w:r>
      <w:r w:rsidR="009F561F" w:rsidRPr="007738CD">
        <w:rPr>
          <w:rFonts w:ascii="Arial" w:hAnsi="Arial" w:cs="Arial"/>
        </w:rPr>
        <w:t>% and Class meetings</w:t>
      </w:r>
      <w:r w:rsidR="00205719" w:rsidRPr="007738CD">
        <w:rPr>
          <w:rStyle w:val="FootnoteReference"/>
          <w:rFonts w:ascii="Arial" w:hAnsi="Arial" w:cs="Arial"/>
        </w:rPr>
        <w:footnoteReference w:id="3"/>
      </w:r>
      <w:r w:rsidR="009F561F" w:rsidRPr="007738CD">
        <w:rPr>
          <w:rFonts w:ascii="Arial" w:hAnsi="Arial" w:cs="Arial"/>
        </w:rPr>
        <w:t xml:space="preserve"> comprised the remaining </w:t>
      </w:r>
      <w:r w:rsidR="0026410A" w:rsidRPr="007738CD">
        <w:rPr>
          <w:rFonts w:ascii="Arial" w:hAnsi="Arial" w:cs="Arial"/>
        </w:rPr>
        <w:t xml:space="preserve">0.2%. </w:t>
      </w:r>
    </w:p>
    <w:p w14:paraId="6C287ED0" w14:textId="0C794717" w:rsidR="007229FD" w:rsidRPr="007738CD" w:rsidRDefault="00785915" w:rsidP="007738CD">
      <w:pPr>
        <w:spacing w:before="120" w:after="120" w:line="240" w:lineRule="auto"/>
        <w:rPr>
          <w:rFonts w:ascii="Arial" w:hAnsi="Arial" w:cs="Arial"/>
        </w:rPr>
      </w:pPr>
      <w:r w:rsidRPr="007738CD">
        <w:rPr>
          <w:rFonts w:ascii="Arial" w:hAnsi="Arial" w:cs="Arial"/>
          <w:b/>
          <w:bCs/>
        </w:rPr>
        <w:t>Resolutions</w:t>
      </w:r>
    </w:p>
    <w:p w14:paraId="3F6B145B" w14:textId="49CB8409" w:rsidR="00DE4966" w:rsidRPr="007738CD" w:rsidRDefault="00785915" w:rsidP="007738CD">
      <w:pPr>
        <w:spacing w:before="120" w:after="120" w:line="240" w:lineRule="auto"/>
        <w:rPr>
          <w:rFonts w:ascii="Arial" w:hAnsi="Arial" w:cs="Arial"/>
          <w:b/>
          <w:bCs/>
        </w:rPr>
      </w:pPr>
      <w:r w:rsidRPr="007738CD">
        <w:rPr>
          <w:rFonts w:ascii="Arial" w:hAnsi="Arial" w:cs="Arial"/>
          <w:b/>
          <w:bCs/>
        </w:rPr>
        <w:t xml:space="preserve">Resolution </w:t>
      </w:r>
      <w:r w:rsidR="00B66E12" w:rsidRPr="007738CD">
        <w:rPr>
          <w:rFonts w:ascii="Arial" w:hAnsi="Arial" w:cs="Arial"/>
          <w:b/>
          <w:bCs/>
        </w:rPr>
        <w:t>numbers and types</w:t>
      </w:r>
    </w:p>
    <w:p w14:paraId="30130231" w14:textId="7F47E09A" w:rsidR="002B0B65" w:rsidRPr="007738CD" w:rsidRDefault="002B0B65" w:rsidP="007738CD">
      <w:pPr>
        <w:spacing w:before="120" w:after="120" w:line="240" w:lineRule="auto"/>
        <w:rPr>
          <w:rFonts w:ascii="Arial" w:hAnsi="Arial" w:cs="Arial"/>
        </w:rPr>
      </w:pPr>
      <w:r w:rsidRPr="007738CD">
        <w:rPr>
          <w:rFonts w:ascii="Arial" w:hAnsi="Arial" w:cs="Arial"/>
        </w:rPr>
        <w:t xml:space="preserve">The number of resolutions covered in 2025 totalled 24,018. This is marginally higher than the 23,405 resolutions covered in 2024 and </w:t>
      </w:r>
      <w:r w:rsidR="00E1331B" w:rsidRPr="007738CD">
        <w:rPr>
          <w:rFonts w:ascii="Arial" w:hAnsi="Arial" w:cs="Arial"/>
        </w:rPr>
        <w:t xml:space="preserve">almost double the 12,138 resolutions covered in 2023 (which was a result of </w:t>
      </w:r>
      <w:r w:rsidR="00E56C16" w:rsidRPr="007738CD">
        <w:rPr>
          <w:rFonts w:ascii="Arial" w:hAnsi="Arial" w:cs="Arial"/>
        </w:rPr>
        <w:t>PTV).</w:t>
      </w:r>
    </w:p>
    <w:p w14:paraId="6AED0FE5" w14:textId="21C897B1" w:rsidR="00E56C16" w:rsidRPr="007738CD" w:rsidRDefault="000F53F0" w:rsidP="007738CD">
      <w:pPr>
        <w:spacing w:before="120" w:after="120" w:line="240" w:lineRule="auto"/>
        <w:rPr>
          <w:rFonts w:ascii="Arial" w:hAnsi="Arial" w:cs="Arial"/>
        </w:rPr>
      </w:pPr>
      <w:r w:rsidRPr="007738CD">
        <w:rPr>
          <w:rFonts w:ascii="Arial" w:hAnsi="Arial" w:cs="Arial"/>
        </w:rPr>
        <w:t>T</w:t>
      </w:r>
      <w:r w:rsidR="007F78DC" w:rsidRPr="007738CD">
        <w:rPr>
          <w:rFonts w:ascii="Arial" w:hAnsi="Arial" w:cs="Arial"/>
        </w:rPr>
        <w:t xml:space="preserve">he election or re-election of directors </w:t>
      </w:r>
      <w:r w:rsidRPr="007738CD">
        <w:rPr>
          <w:rFonts w:ascii="Arial" w:hAnsi="Arial" w:cs="Arial"/>
        </w:rPr>
        <w:t>was</w:t>
      </w:r>
      <w:r w:rsidR="007F78DC" w:rsidRPr="007738CD">
        <w:rPr>
          <w:rFonts w:ascii="Arial" w:hAnsi="Arial" w:cs="Arial"/>
        </w:rPr>
        <w:t xml:space="preserve"> the most common</w:t>
      </w:r>
      <w:r w:rsidRPr="007738CD">
        <w:rPr>
          <w:rFonts w:ascii="Arial" w:hAnsi="Arial" w:cs="Arial"/>
        </w:rPr>
        <w:t xml:space="preserve"> resolution category, and f</w:t>
      </w:r>
      <w:r w:rsidR="00A1760F" w:rsidRPr="007738CD">
        <w:rPr>
          <w:rFonts w:ascii="Arial" w:hAnsi="Arial" w:cs="Arial"/>
        </w:rPr>
        <w:t>or the second year in a row</w:t>
      </w:r>
      <w:r w:rsidR="00AB1269" w:rsidRPr="007738CD">
        <w:rPr>
          <w:rFonts w:ascii="Arial" w:hAnsi="Arial" w:cs="Arial"/>
        </w:rPr>
        <w:t>,</w:t>
      </w:r>
      <w:r w:rsidRPr="007738CD">
        <w:rPr>
          <w:rFonts w:ascii="Arial" w:hAnsi="Arial" w:cs="Arial"/>
        </w:rPr>
        <w:t xml:space="preserve"> represented a majority of the res</w:t>
      </w:r>
      <w:r w:rsidR="00AB1269" w:rsidRPr="007738CD">
        <w:rPr>
          <w:rFonts w:ascii="Arial" w:hAnsi="Arial" w:cs="Arial"/>
        </w:rPr>
        <w:t xml:space="preserve">olutions covered. </w:t>
      </w:r>
      <w:r w:rsidR="00A95653" w:rsidRPr="007738CD">
        <w:rPr>
          <w:rFonts w:ascii="Arial" w:hAnsi="Arial" w:cs="Arial"/>
        </w:rPr>
        <w:t xml:space="preserve">This was followed by </w:t>
      </w:r>
      <w:r w:rsidR="00C03D9B" w:rsidRPr="007738CD">
        <w:rPr>
          <w:rFonts w:ascii="Arial" w:hAnsi="Arial" w:cs="Arial"/>
        </w:rPr>
        <w:t xml:space="preserve">Share issue/re-purchase, annual reports, and </w:t>
      </w:r>
      <w:r w:rsidR="00FF01DC" w:rsidRPr="007738CD">
        <w:rPr>
          <w:rFonts w:ascii="Arial" w:hAnsi="Arial" w:cs="Arial"/>
        </w:rPr>
        <w:t>auditor resolutions.</w:t>
      </w:r>
    </w:p>
    <w:p w14:paraId="6C3DE3BE" w14:textId="2755A8E3" w:rsidR="00550894" w:rsidRPr="007738CD" w:rsidRDefault="00550894" w:rsidP="007738CD">
      <w:pPr>
        <w:spacing w:before="120" w:after="120" w:line="240" w:lineRule="auto"/>
        <w:rPr>
          <w:rFonts w:ascii="Arial" w:hAnsi="Arial" w:cs="Arial"/>
        </w:rPr>
      </w:pPr>
      <w:r w:rsidRPr="007738CD">
        <w:rPr>
          <w:rFonts w:ascii="Arial" w:hAnsi="Arial" w:cs="Arial"/>
        </w:rPr>
        <w:t>The number of resol</w:t>
      </w:r>
      <w:r w:rsidR="007747C5" w:rsidRPr="007738CD">
        <w:rPr>
          <w:rFonts w:ascii="Arial" w:hAnsi="Arial" w:cs="Arial"/>
        </w:rPr>
        <w:t xml:space="preserve">utions around remuneration, for instance Executive pay schemes and </w:t>
      </w:r>
      <w:proofErr w:type="gramStart"/>
      <w:r w:rsidR="003A7ED5" w:rsidRPr="007738CD">
        <w:rPr>
          <w:rFonts w:ascii="Arial" w:hAnsi="Arial" w:cs="Arial"/>
        </w:rPr>
        <w:t>Say</w:t>
      </w:r>
      <w:proofErr w:type="gramEnd"/>
      <w:r w:rsidR="003A7ED5" w:rsidRPr="007738CD">
        <w:rPr>
          <w:rFonts w:ascii="Arial" w:hAnsi="Arial" w:cs="Arial"/>
        </w:rPr>
        <w:t xml:space="preserve"> on pay resolutions, decreased.</w:t>
      </w:r>
      <w:r w:rsidR="007B12CE" w:rsidRPr="007738CD">
        <w:rPr>
          <w:rFonts w:ascii="Arial" w:hAnsi="Arial" w:cs="Arial"/>
        </w:rPr>
        <w:t xml:space="preserve"> </w:t>
      </w:r>
      <w:r w:rsidR="00B52D69" w:rsidRPr="007738CD">
        <w:rPr>
          <w:rFonts w:ascii="Arial" w:hAnsi="Arial" w:cs="Arial"/>
        </w:rPr>
        <w:t xml:space="preserve">Similarly, shareholder resolutions </w:t>
      </w:r>
      <w:r w:rsidR="007B12CE" w:rsidRPr="007738CD">
        <w:rPr>
          <w:rFonts w:ascii="Arial" w:hAnsi="Arial" w:cs="Arial"/>
        </w:rPr>
        <w:t>have decreased</w:t>
      </w:r>
      <w:r w:rsidR="009772B4" w:rsidRPr="007738CD">
        <w:rPr>
          <w:rFonts w:ascii="Arial" w:hAnsi="Arial" w:cs="Arial"/>
        </w:rPr>
        <w:t xml:space="preserve">. </w:t>
      </w:r>
      <w:r w:rsidR="00500931" w:rsidRPr="007738CD">
        <w:rPr>
          <w:rFonts w:ascii="Arial" w:hAnsi="Arial" w:cs="Arial"/>
        </w:rPr>
        <w:t xml:space="preserve">The </w:t>
      </w:r>
      <w:r w:rsidR="00C16BA4" w:rsidRPr="007738CD">
        <w:rPr>
          <w:rFonts w:ascii="Arial" w:hAnsi="Arial" w:cs="Arial"/>
        </w:rPr>
        <w:t xml:space="preserve">drop-off </w:t>
      </w:r>
      <w:r w:rsidR="009772B4" w:rsidRPr="007738CD">
        <w:rPr>
          <w:rFonts w:ascii="Arial" w:hAnsi="Arial" w:cs="Arial"/>
        </w:rPr>
        <w:t>in shareholder resolutions</w:t>
      </w:r>
      <w:r w:rsidR="00500931" w:rsidRPr="007738CD">
        <w:rPr>
          <w:rFonts w:ascii="Arial" w:hAnsi="Arial" w:cs="Arial"/>
        </w:rPr>
        <w:t xml:space="preserve"> has been noticeable</w:t>
      </w:r>
      <w:r w:rsidR="009772B4" w:rsidRPr="007738CD">
        <w:rPr>
          <w:rFonts w:ascii="Arial" w:hAnsi="Arial" w:cs="Arial"/>
        </w:rPr>
        <w:t xml:space="preserve">, with over 100 fewer resolutions in 2025 compared to 2024. </w:t>
      </w:r>
      <w:r w:rsidR="0058108B" w:rsidRPr="007738CD">
        <w:rPr>
          <w:rFonts w:ascii="Arial" w:hAnsi="Arial" w:cs="Arial"/>
        </w:rPr>
        <w:t xml:space="preserve">This is likely due to the various </w:t>
      </w:r>
      <w:r w:rsidR="00864D14" w:rsidRPr="007738CD">
        <w:rPr>
          <w:rFonts w:ascii="Arial" w:hAnsi="Arial" w:cs="Arial"/>
        </w:rPr>
        <w:t>eff</w:t>
      </w:r>
      <w:r w:rsidR="00716A19" w:rsidRPr="007738CD">
        <w:rPr>
          <w:rFonts w:ascii="Arial" w:hAnsi="Arial" w:cs="Arial"/>
        </w:rPr>
        <w:t xml:space="preserve">orts by the Securities and Exchange Commission (SEC) in the US to limit the ability of shareholders to table these resolutions. </w:t>
      </w:r>
      <w:r w:rsidR="003B0F83" w:rsidRPr="007738CD">
        <w:rPr>
          <w:rFonts w:ascii="Arial" w:hAnsi="Arial" w:cs="Arial"/>
        </w:rPr>
        <w:t xml:space="preserve">Looking ahead, it is highly likely that this trend in the decreasing number of </w:t>
      </w:r>
      <w:r w:rsidR="00D60909" w:rsidRPr="007738CD">
        <w:rPr>
          <w:rFonts w:ascii="Arial" w:hAnsi="Arial" w:cs="Arial"/>
        </w:rPr>
        <w:t xml:space="preserve">shareholder resolutions </w:t>
      </w:r>
      <w:r w:rsidR="0070229A" w:rsidRPr="007738CD">
        <w:rPr>
          <w:rFonts w:ascii="Arial" w:hAnsi="Arial" w:cs="Arial"/>
        </w:rPr>
        <w:t xml:space="preserve">will </w:t>
      </w:r>
      <w:r w:rsidR="00D60909" w:rsidRPr="007738CD">
        <w:rPr>
          <w:rFonts w:ascii="Arial" w:hAnsi="Arial" w:cs="Arial"/>
        </w:rPr>
        <w:t xml:space="preserve">continue. </w:t>
      </w:r>
    </w:p>
    <w:p w14:paraId="5853435A" w14:textId="77777777" w:rsidR="007738CD" w:rsidRPr="007738CD" w:rsidRDefault="007738CD" w:rsidP="007738CD">
      <w:pPr>
        <w:spacing w:before="120" w:after="120" w:line="240" w:lineRule="auto"/>
        <w:rPr>
          <w:rFonts w:ascii="Arial" w:hAnsi="Arial" w:cs="Arial"/>
          <w:b/>
          <w:bCs/>
        </w:rPr>
      </w:pPr>
      <w:r w:rsidRPr="007738CD">
        <w:rPr>
          <w:rFonts w:ascii="Arial" w:hAnsi="Arial" w:cs="Arial"/>
          <w:b/>
          <w:bCs/>
        </w:rPr>
        <w:br w:type="page"/>
      </w:r>
    </w:p>
    <w:p w14:paraId="13EC6402" w14:textId="336C2EFC" w:rsidR="00203FB8" w:rsidRPr="007738CD" w:rsidRDefault="00203FB8" w:rsidP="007738CD">
      <w:pPr>
        <w:spacing w:before="120" w:after="120" w:line="240" w:lineRule="auto"/>
        <w:rPr>
          <w:rFonts w:ascii="Arial" w:hAnsi="Arial" w:cs="Arial"/>
          <w:b/>
          <w:bCs/>
        </w:rPr>
      </w:pPr>
      <w:r w:rsidRPr="007738CD">
        <w:rPr>
          <w:rFonts w:ascii="Arial" w:hAnsi="Arial" w:cs="Arial"/>
          <w:b/>
          <w:bCs/>
        </w:rPr>
        <w:lastRenderedPageBreak/>
        <w:t>Proportion of votes per resolution category</w:t>
      </w:r>
    </w:p>
    <w:p w14:paraId="161B9F89" w14:textId="2A67C099" w:rsidR="007772C3" w:rsidRPr="007738CD" w:rsidRDefault="007772C3" w:rsidP="007738CD">
      <w:pPr>
        <w:spacing w:before="120" w:after="120" w:line="240" w:lineRule="auto"/>
        <w:rPr>
          <w:rFonts w:ascii="Arial" w:hAnsi="Arial" w:cs="Arial"/>
          <w:i/>
          <w:iCs/>
          <w:u w:val="single"/>
        </w:rPr>
      </w:pPr>
      <w:r w:rsidRPr="007738CD">
        <w:rPr>
          <w:rFonts w:ascii="Arial" w:hAnsi="Arial" w:cs="Arial"/>
          <w:i/>
          <w:iCs/>
          <w:u w:val="single"/>
        </w:rPr>
        <w:t xml:space="preserve">Table </w:t>
      </w:r>
      <w:r w:rsidR="00D60909" w:rsidRPr="007738CD">
        <w:rPr>
          <w:rFonts w:ascii="Arial" w:hAnsi="Arial" w:cs="Arial"/>
          <w:i/>
          <w:iCs/>
          <w:u w:val="single"/>
        </w:rPr>
        <w:t>3</w:t>
      </w:r>
      <w:r w:rsidRPr="007738CD">
        <w:rPr>
          <w:rFonts w:ascii="Arial" w:hAnsi="Arial" w:cs="Arial"/>
          <w:i/>
          <w:iCs/>
          <w:u w:val="single"/>
        </w:rPr>
        <w:t xml:space="preserve"> </w:t>
      </w:r>
      <w:r w:rsidR="005E782E" w:rsidRPr="007738CD">
        <w:rPr>
          <w:rFonts w:ascii="Arial" w:hAnsi="Arial" w:cs="Arial"/>
          <w:i/>
          <w:iCs/>
          <w:u w:val="single"/>
        </w:rPr>
        <w:t>–</w:t>
      </w:r>
      <w:r w:rsidRPr="007738CD">
        <w:rPr>
          <w:rFonts w:ascii="Arial" w:hAnsi="Arial" w:cs="Arial"/>
          <w:i/>
          <w:iCs/>
          <w:u w:val="single"/>
        </w:rPr>
        <w:t xml:space="preserve"> </w:t>
      </w:r>
      <w:r w:rsidR="00F03C48" w:rsidRPr="007738CD">
        <w:rPr>
          <w:rFonts w:ascii="Arial" w:hAnsi="Arial" w:cs="Arial"/>
          <w:i/>
          <w:iCs/>
          <w:u w:val="single"/>
        </w:rPr>
        <w:t>Number of resolutions by type</w:t>
      </w:r>
    </w:p>
    <w:tbl>
      <w:tblPr>
        <w:tblW w:w="5954" w:type="dxa"/>
        <w:jc w:val="center"/>
        <w:tblLook w:val="04A0" w:firstRow="1" w:lastRow="0" w:firstColumn="1" w:lastColumn="0" w:noHBand="0" w:noVBand="1"/>
      </w:tblPr>
      <w:tblGrid>
        <w:gridCol w:w="3402"/>
        <w:gridCol w:w="1287"/>
        <w:gridCol w:w="1265"/>
      </w:tblGrid>
      <w:tr w:rsidR="007738CD" w:rsidRPr="007738CD" w14:paraId="36D86F75" w14:textId="77777777" w:rsidTr="00FB4661">
        <w:trPr>
          <w:trHeight w:val="269"/>
          <w:jc w:val="center"/>
        </w:trPr>
        <w:tc>
          <w:tcPr>
            <w:tcW w:w="3402"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hideMark/>
          </w:tcPr>
          <w:p w14:paraId="6EC553E6" w14:textId="77777777" w:rsidR="00FB4661" w:rsidRPr="007738CD" w:rsidRDefault="00FB4661"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Type</w:t>
            </w:r>
          </w:p>
        </w:tc>
        <w:tc>
          <w:tcPr>
            <w:tcW w:w="1287"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hideMark/>
          </w:tcPr>
          <w:p w14:paraId="2330A115" w14:textId="77777777" w:rsidR="00FB4661" w:rsidRPr="007738CD" w:rsidRDefault="00FB4661"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2025</w:t>
            </w:r>
          </w:p>
        </w:tc>
        <w:tc>
          <w:tcPr>
            <w:tcW w:w="1265" w:type="dxa"/>
            <w:tcBorders>
              <w:top w:val="single" w:sz="4" w:space="0" w:color="auto"/>
              <w:left w:val="nil"/>
              <w:bottom w:val="single" w:sz="4" w:space="0" w:color="auto"/>
              <w:right w:val="single" w:sz="4" w:space="0" w:color="auto"/>
            </w:tcBorders>
            <w:shd w:val="clear" w:color="auto" w:fill="153D63" w:themeFill="text2" w:themeFillTint="E6"/>
          </w:tcPr>
          <w:p w14:paraId="1BA0664B" w14:textId="77777777" w:rsidR="00FB4661" w:rsidRPr="007738CD" w:rsidRDefault="00FB4661"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2024</w:t>
            </w:r>
          </w:p>
        </w:tc>
      </w:tr>
      <w:tr w:rsidR="007738CD" w:rsidRPr="007738CD" w14:paraId="55045161" w14:textId="77777777" w:rsidTr="00FB4661">
        <w:trPr>
          <w:trHeight w:val="269"/>
          <w:jc w:val="center"/>
        </w:trPr>
        <w:tc>
          <w:tcPr>
            <w:tcW w:w="3402"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2838AE00"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All employee schemes</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21780F51" w14:textId="62F9D3AE"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153</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15F05DAF"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118</w:t>
            </w:r>
          </w:p>
        </w:tc>
      </w:tr>
      <w:tr w:rsidR="007738CD" w:rsidRPr="007738CD" w14:paraId="42A02154"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21B2DAA5"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Annual reports (including remuneration reports)</w:t>
            </w:r>
          </w:p>
        </w:tc>
        <w:tc>
          <w:tcPr>
            <w:tcW w:w="1287" w:type="dxa"/>
            <w:tcBorders>
              <w:top w:val="single" w:sz="4" w:space="0" w:color="auto"/>
              <w:left w:val="nil"/>
              <w:bottom w:val="single" w:sz="4" w:space="0" w:color="auto"/>
              <w:right w:val="single" w:sz="4" w:space="0" w:color="auto"/>
            </w:tcBorders>
            <w:noWrap/>
            <w:vAlign w:val="bottom"/>
          </w:tcPr>
          <w:p w14:paraId="657AAEB3" w14:textId="253AA210"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2,233</w:t>
            </w:r>
          </w:p>
        </w:tc>
        <w:tc>
          <w:tcPr>
            <w:tcW w:w="1265" w:type="dxa"/>
            <w:tcBorders>
              <w:top w:val="single" w:sz="4" w:space="0" w:color="auto"/>
              <w:left w:val="nil"/>
              <w:bottom w:val="single" w:sz="4" w:space="0" w:color="auto"/>
              <w:right w:val="single" w:sz="4" w:space="0" w:color="auto"/>
            </w:tcBorders>
            <w:vAlign w:val="bottom"/>
          </w:tcPr>
          <w:p w14:paraId="2E8D0329"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2,086</w:t>
            </w:r>
          </w:p>
        </w:tc>
      </w:tr>
      <w:tr w:rsidR="007738CD" w:rsidRPr="007738CD" w14:paraId="59A5A4E8"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142B6FFB"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Articles of association</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6173A934" w14:textId="55681036"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470</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2D2F127F"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395</w:t>
            </w:r>
          </w:p>
        </w:tc>
      </w:tr>
      <w:tr w:rsidR="007738CD" w:rsidRPr="007738CD" w14:paraId="25FAE513"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42B42BFB"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Auditors</w:t>
            </w:r>
          </w:p>
        </w:tc>
        <w:tc>
          <w:tcPr>
            <w:tcW w:w="1287" w:type="dxa"/>
            <w:tcBorders>
              <w:top w:val="single" w:sz="4" w:space="0" w:color="auto"/>
              <w:left w:val="nil"/>
              <w:bottom w:val="single" w:sz="4" w:space="0" w:color="auto"/>
              <w:right w:val="single" w:sz="4" w:space="0" w:color="auto"/>
            </w:tcBorders>
            <w:noWrap/>
            <w:vAlign w:val="bottom"/>
          </w:tcPr>
          <w:p w14:paraId="1508028B" w14:textId="1442BDA3"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2,082</w:t>
            </w:r>
          </w:p>
        </w:tc>
        <w:tc>
          <w:tcPr>
            <w:tcW w:w="1265" w:type="dxa"/>
            <w:tcBorders>
              <w:top w:val="single" w:sz="4" w:space="0" w:color="auto"/>
              <w:left w:val="nil"/>
              <w:bottom w:val="single" w:sz="4" w:space="0" w:color="auto"/>
              <w:right w:val="single" w:sz="4" w:space="0" w:color="auto"/>
            </w:tcBorders>
            <w:vAlign w:val="bottom"/>
          </w:tcPr>
          <w:p w14:paraId="6F565779"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2,005</w:t>
            </w:r>
          </w:p>
        </w:tc>
      </w:tr>
      <w:tr w:rsidR="007738CD" w:rsidRPr="007738CD" w14:paraId="66D88DAB"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2532D78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Corporate actions</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2A8336C7" w14:textId="5F71DDC5"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139</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06D936E1"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146</w:t>
            </w:r>
          </w:p>
        </w:tc>
      </w:tr>
      <w:tr w:rsidR="007738CD" w:rsidRPr="007738CD" w14:paraId="1FE73DF6"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1CBFBA2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Corporate donations</w:t>
            </w:r>
          </w:p>
        </w:tc>
        <w:tc>
          <w:tcPr>
            <w:tcW w:w="1287" w:type="dxa"/>
            <w:tcBorders>
              <w:top w:val="single" w:sz="4" w:space="0" w:color="auto"/>
              <w:left w:val="nil"/>
              <w:bottom w:val="single" w:sz="4" w:space="0" w:color="auto"/>
              <w:right w:val="single" w:sz="4" w:space="0" w:color="auto"/>
            </w:tcBorders>
            <w:noWrap/>
            <w:vAlign w:val="bottom"/>
          </w:tcPr>
          <w:p w14:paraId="02554CA1" w14:textId="2E55BA51"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205</w:t>
            </w:r>
          </w:p>
        </w:tc>
        <w:tc>
          <w:tcPr>
            <w:tcW w:w="1265" w:type="dxa"/>
            <w:tcBorders>
              <w:top w:val="single" w:sz="4" w:space="0" w:color="auto"/>
              <w:left w:val="nil"/>
              <w:bottom w:val="single" w:sz="4" w:space="0" w:color="auto"/>
              <w:right w:val="single" w:sz="4" w:space="0" w:color="auto"/>
            </w:tcBorders>
            <w:vAlign w:val="bottom"/>
          </w:tcPr>
          <w:p w14:paraId="1D696387"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206</w:t>
            </w:r>
          </w:p>
        </w:tc>
      </w:tr>
      <w:tr w:rsidR="007738CD" w:rsidRPr="007738CD" w14:paraId="0B5D5F74"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0540DA37"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Debt &amp; loans</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24002D46" w14:textId="29D9708C"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40</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35D5A03C"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27</w:t>
            </w:r>
          </w:p>
        </w:tc>
      </w:tr>
      <w:tr w:rsidR="007738CD" w:rsidRPr="007738CD" w14:paraId="26426099"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1823898F"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Directors</w:t>
            </w:r>
          </w:p>
        </w:tc>
        <w:tc>
          <w:tcPr>
            <w:tcW w:w="1287" w:type="dxa"/>
            <w:tcBorders>
              <w:top w:val="single" w:sz="4" w:space="0" w:color="auto"/>
              <w:left w:val="nil"/>
              <w:bottom w:val="single" w:sz="4" w:space="0" w:color="auto"/>
              <w:right w:val="single" w:sz="4" w:space="0" w:color="auto"/>
            </w:tcBorders>
            <w:noWrap/>
            <w:vAlign w:val="bottom"/>
          </w:tcPr>
          <w:p w14:paraId="2660F111" w14:textId="15BF6A6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12,507</w:t>
            </w:r>
          </w:p>
        </w:tc>
        <w:tc>
          <w:tcPr>
            <w:tcW w:w="1265" w:type="dxa"/>
            <w:tcBorders>
              <w:top w:val="single" w:sz="4" w:space="0" w:color="auto"/>
              <w:left w:val="nil"/>
              <w:bottom w:val="single" w:sz="4" w:space="0" w:color="auto"/>
              <w:right w:val="single" w:sz="4" w:space="0" w:color="auto"/>
            </w:tcBorders>
            <w:vAlign w:val="bottom"/>
          </w:tcPr>
          <w:p w14:paraId="700CE2E7"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12,267</w:t>
            </w:r>
          </w:p>
        </w:tc>
      </w:tr>
      <w:tr w:rsidR="007738CD" w:rsidRPr="007738CD" w14:paraId="6E3A612C"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5B809EF4"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Dividend</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705EDA84" w14:textId="6B61A61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834</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01F1FF0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762</w:t>
            </w:r>
          </w:p>
        </w:tc>
      </w:tr>
      <w:tr w:rsidR="007738CD" w:rsidRPr="007738CD" w14:paraId="2CD938F9"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50AED290" w14:textId="77777777" w:rsidR="00FB4661" w:rsidRPr="007738CD" w:rsidRDefault="00FB4661" w:rsidP="007738CD">
            <w:pPr>
              <w:spacing w:after="0" w:line="240" w:lineRule="auto"/>
              <w:rPr>
                <w:rFonts w:ascii="Arial" w:eastAsia="Times New Roman" w:hAnsi="Arial" w:cs="Arial"/>
                <w:kern w:val="0"/>
                <w:lang w:eastAsia="en-GB"/>
                <w14:ligatures w14:val="none"/>
              </w:rPr>
            </w:pPr>
            <w:proofErr w:type="gramStart"/>
            <w:r w:rsidRPr="007738CD">
              <w:rPr>
                <w:rFonts w:ascii="Arial" w:eastAsia="Times New Roman" w:hAnsi="Arial" w:cs="Arial"/>
                <w:kern w:val="0"/>
                <w:lang w:eastAsia="en-GB"/>
                <w14:ligatures w14:val="none"/>
              </w:rPr>
              <w:t>Executive</w:t>
            </w:r>
            <w:proofErr w:type="gramEnd"/>
            <w:r w:rsidRPr="007738CD">
              <w:rPr>
                <w:rFonts w:ascii="Arial" w:eastAsia="Times New Roman" w:hAnsi="Arial" w:cs="Arial"/>
                <w:kern w:val="0"/>
                <w:lang w:eastAsia="en-GB"/>
                <w14:ligatures w14:val="none"/>
              </w:rPr>
              <w:t xml:space="preserve"> pay scheme</w:t>
            </w:r>
          </w:p>
        </w:tc>
        <w:tc>
          <w:tcPr>
            <w:tcW w:w="1287" w:type="dxa"/>
            <w:tcBorders>
              <w:top w:val="single" w:sz="4" w:space="0" w:color="auto"/>
              <w:left w:val="nil"/>
              <w:bottom w:val="single" w:sz="4" w:space="0" w:color="auto"/>
              <w:right w:val="single" w:sz="4" w:space="0" w:color="auto"/>
            </w:tcBorders>
            <w:noWrap/>
            <w:vAlign w:val="bottom"/>
          </w:tcPr>
          <w:p w14:paraId="5DD0C8A2" w14:textId="1C2DB4CC"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179</w:t>
            </w:r>
          </w:p>
        </w:tc>
        <w:tc>
          <w:tcPr>
            <w:tcW w:w="1265" w:type="dxa"/>
            <w:tcBorders>
              <w:top w:val="single" w:sz="4" w:space="0" w:color="auto"/>
              <w:left w:val="nil"/>
              <w:bottom w:val="single" w:sz="4" w:space="0" w:color="auto"/>
              <w:right w:val="single" w:sz="4" w:space="0" w:color="auto"/>
            </w:tcBorders>
            <w:vAlign w:val="bottom"/>
          </w:tcPr>
          <w:p w14:paraId="2DADE564"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210</w:t>
            </w:r>
          </w:p>
        </w:tc>
      </w:tr>
      <w:tr w:rsidR="007738CD" w:rsidRPr="007738CD" w14:paraId="2C9826CD"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246B6CB9"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Miscellaneous</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4836AB88" w14:textId="207DB414"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818</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745F4E54"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736</w:t>
            </w:r>
          </w:p>
        </w:tc>
      </w:tr>
      <w:tr w:rsidR="007738CD" w:rsidRPr="007738CD" w14:paraId="32C5E1B6"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64154676"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NED fees</w:t>
            </w:r>
          </w:p>
        </w:tc>
        <w:tc>
          <w:tcPr>
            <w:tcW w:w="1287" w:type="dxa"/>
            <w:tcBorders>
              <w:top w:val="single" w:sz="4" w:space="0" w:color="auto"/>
              <w:left w:val="nil"/>
              <w:bottom w:val="single" w:sz="4" w:space="0" w:color="auto"/>
              <w:right w:val="single" w:sz="4" w:space="0" w:color="auto"/>
            </w:tcBorders>
            <w:noWrap/>
            <w:vAlign w:val="bottom"/>
          </w:tcPr>
          <w:p w14:paraId="1F3CFB5B" w14:textId="11721F10"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230</w:t>
            </w:r>
          </w:p>
        </w:tc>
        <w:tc>
          <w:tcPr>
            <w:tcW w:w="1265" w:type="dxa"/>
            <w:tcBorders>
              <w:top w:val="single" w:sz="4" w:space="0" w:color="auto"/>
              <w:left w:val="nil"/>
              <w:bottom w:val="single" w:sz="4" w:space="0" w:color="auto"/>
              <w:right w:val="single" w:sz="4" w:space="0" w:color="auto"/>
            </w:tcBorders>
            <w:vAlign w:val="bottom"/>
          </w:tcPr>
          <w:p w14:paraId="01838769"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176</w:t>
            </w:r>
          </w:p>
        </w:tc>
      </w:tr>
      <w:tr w:rsidR="007738CD" w:rsidRPr="007738CD" w14:paraId="4A8BA3CF"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6C70BFD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Non-voting</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3C7CB6EB" w14:textId="621E5A5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364</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178237C1"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404</w:t>
            </w:r>
          </w:p>
        </w:tc>
      </w:tr>
      <w:tr w:rsidR="007738CD" w:rsidRPr="007738CD" w14:paraId="28CB8F71"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6A180ED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Say on pay</w:t>
            </w:r>
          </w:p>
        </w:tc>
        <w:tc>
          <w:tcPr>
            <w:tcW w:w="1287" w:type="dxa"/>
            <w:tcBorders>
              <w:top w:val="single" w:sz="4" w:space="0" w:color="auto"/>
              <w:left w:val="nil"/>
              <w:bottom w:val="single" w:sz="4" w:space="0" w:color="auto"/>
              <w:right w:val="single" w:sz="4" w:space="0" w:color="auto"/>
            </w:tcBorders>
            <w:noWrap/>
            <w:vAlign w:val="bottom"/>
          </w:tcPr>
          <w:p w14:paraId="37FE5BB9" w14:textId="417C97EB"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569</w:t>
            </w:r>
          </w:p>
        </w:tc>
        <w:tc>
          <w:tcPr>
            <w:tcW w:w="1265" w:type="dxa"/>
            <w:tcBorders>
              <w:top w:val="single" w:sz="4" w:space="0" w:color="auto"/>
              <w:left w:val="nil"/>
              <w:bottom w:val="single" w:sz="4" w:space="0" w:color="auto"/>
              <w:right w:val="single" w:sz="4" w:space="0" w:color="auto"/>
            </w:tcBorders>
            <w:vAlign w:val="bottom"/>
          </w:tcPr>
          <w:p w14:paraId="34118739"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597</w:t>
            </w:r>
          </w:p>
        </w:tc>
      </w:tr>
      <w:tr w:rsidR="007738CD" w:rsidRPr="007738CD" w14:paraId="0A7859FF" w14:textId="77777777" w:rsidTr="00FB4661">
        <w:trPr>
          <w:trHeight w:val="269"/>
          <w:jc w:val="center"/>
        </w:trPr>
        <w:tc>
          <w:tcPr>
            <w:tcW w:w="3402" w:type="dxa"/>
            <w:tcBorders>
              <w:top w:val="nil"/>
              <w:left w:val="single" w:sz="4" w:space="0" w:color="auto"/>
              <w:bottom w:val="single" w:sz="4" w:space="0" w:color="auto"/>
              <w:right w:val="single" w:sz="4" w:space="0" w:color="auto"/>
            </w:tcBorders>
            <w:shd w:val="clear" w:color="auto" w:fill="DEEAF6"/>
            <w:noWrap/>
            <w:vAlign w:val="bottom"/>
            <w:hideMark/>
          </w:tcPr>
          <w:p w14:paraId="244A9D3F"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 capital restructuring</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5D7F4065" w14:textId="63DCE3D1"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88</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75D6399B"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86</w:t>
            </w:r>
          </w:p>
        </w:tc>
      </w:tr>
      <w:tr w:rsidR="007738CD" w:rsidRPr="007738CD" w14:paraId="0634078C" w14:textId="77777777" w:rsidTr="00FB4661">
        <w:trPr>
          <w:trHeight w:val="269"/>
          <w:jc w:val="center"/>
        </w:trPr>
        <w:tc>
          <w:tcPr>
            <w:tcW w:w="3402" w:type="dxa"/>
            <w:tcBorders>
              <w:top w:val="nil"/>
              <w:left w:val="single" w:sz="4" w:space="0" w:color="auto"/>
              <w:bottom w:val="single" w:sz="4" w:space="0" w:color="auto"/>
              <w:right w:val="single" w:sz="4" w:space="0" w:color="auto"/>
            </w:tcBorders>
            <w:noWrap/>
            <w:vAlign w:val="bottom"/>
            <w:hideMark/>
          </w:tcPr>
          <w:p w14:paraId="46215238"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 issue/re-purchase</w:t>
            </w:r>
          </w:p>
        </w:tc>
        <w:tc>
          <w:tcPr>
            <w:tcW w:w="1287" w:type="dxa"/>
            <w:tcBorders>
              <w:top w:val="single" w:sz="4" w:space="0" w:color="auto"/>
              <w:left w:val="nil"/>
              <w:bottom w:val="single" w:sz="4" w:space="0" w:color="auto"/>
              <w:right w:val="single" w:sz="4" w:space="0" w:color="auto"/>
            </w:tcBorders>
            <w:noWrap/>
            <w:vAlign w:val="bottom"/>
          </w:tcPr>
          <w:p w14:paraId="075C0C3C" w14:textId="2C1CB3C6"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2,589</w:t>
            </w:r>
          </w:p>
        </w:tc>
        <w:tc>
          <w:tcPr>
            <w:tcW w:w="1265" w:type="dxa"/>
            <w:tcBorders>
              <w:top w:val="single" w:sz="4" w:space="0" w:color="auto"/>
              <w:left w:val="nil"/>
              <w:bottom w:val="single" w:sz="4" w:space="0" w:color="auto"/>
              <w:right w:val="single" w:sz="4" w:space="0" w:color="auto"/>
            </w:tcBorders>
            <w:vAlign w:val="bottom"/>
          </w:tcPr>
          <w:p w14:paraId="714DFDC3"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2,564</w:t>
            </w:r>
          </w:p>
        </w:tc>
      </w:tr>
      <w:tr w:rsidR="007738CD" w:rsidRPr="007738CD" w14:paraId="2B294DF9" w14:textId="77777777" w:rsidTr="00FB4661">
        <w:trPr>
          <w:trHeight w:val="269"/>
          <w:jc w:val="center"/>
        </w:trPr>
        <w:tc>
          <w:tcPr>
            <w:tcW w:w="3402"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51233DE"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Shareholder resolution</w:t>
            </w:r>
          </w:p>
        </w:tc>
        <w:tc>
          <w:tcPr>
            <w:tcW w:w="1287" w:type="dxa"/>
            <w:tcBorders>
              <w:top w:val="single" w:sz="4" w:space="0" w:color="auto"/>
              <w:left w:val="nil"/>
              <w:bottom w:val="single" w:sz="4" w:space="0" w:color="auto"/>
              <w:right w:val="single" w:sz="4" w:space="0" w:color="auto"/>
            </w:tcBorders>
            <w:shd w:val="clear" w:color="auto" w:fill="DEEAF6"/>
            <w:noWrap/>
            <w:vAlign w:val="bottom"/>
          </w:tcPr>
          <w:p w14:paraId="765C935A" w14:textId="64298D84"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518</w:t>
            </w:r>
          </w:p>
        </w:tc>
        <w:tc>
          <w:tcPr>
            <w:tcW w:w="1265" w:type="dxa"/>
            <w:tcBorders>
              <w:top w:val="single" w:sz="4" w:space="0" w:color="auto"/>
              <w:left w:val="nil"/>
              <w:bottom w:val="single" w:sz="4" w:space="0" w:color="auto"/>
              <w:right w:val="single" w:sz="4" w:space="0" w:color="auto"/>
            </w:tcBorders>
            <w:shd w:val="clear" w:color="auto" w:fill="DEEAF6"/>
            <w:vAlign w:val="bottom"/>
          </w:tcPr>
          <w:p w14:paraId="588DDD61" w14:textId="77777777" w:rsidR="00FB4661" w:rsidRPr="007738CD" w:rsidRDefault="00FB4661"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620</w:t>
            </w:r>
          </w:p>
        </w:tc>
      </w:tr>
    </w:tbl>
    <w:p w14:paraId="3DA81C13" w14:textId="77777777" w:rsidR="00203FB8" w:rsidRPr="007738CD" w:rsidRDefault="00203FB8" w:rsidP="007738CD">
      <w:pPr>
        <w:spacing w:before="120" w:after="120" w:line="240" w:lineRule="auto"/>
        <w:rPr>
          <w:rFonts w:ascii="Arial" w:hAnsi="Arial" w:cs="Arial"/>
          <w:b/>
          <w:bCs/>
        </w:rPr>
      </w:pPr>
    </w:p>
    <w:p w14:paraId="7549DC44" w14:textId="5FE797C3" w:rsidR="00203FB8" w:rsidRPr="007738CD" w:rsidRDefault="00203FB8" w:rsidP="007738CD">
      <w:pPr>
        <w:spacing w:before="120" w:after="120" w:line="240" w:lineRule="auto"/>
        <w:rPr>
          <w:rFonts w:ascii="Arial" w:hAnsi="Arial" w:cs="Arial"/>
          <w:b/>
          <w:bCs/>
        </w:rPr>
      </w:pPr>
      <w:r w:rsidRPr="007738CD">
        <w:rPr>
          <w:rFonts w:ascii="Arial" w:hAnsi="Arial" w:cs="Arial"/>
          <w:b/>
          <w:bCs/>
        </w:rPr>
        <w:t>Vot</w:t>
      </w:r>
      <w:r w:rsidR="00F83B1A" w:rsidRPr="007738CD">
        <w:rPr>
          <w:rFonts w:ascii="Arial" w:hAnsi="Arial" w:cs="Arial"/>
          <w:b/>
          <w:bCs/>
        </w:rPr>
        <w:t>e</w:t>
      </w:r>
      <w:r w:rsidRPr="007738CD">
        <w:rPr>
          <w:rFonts w:ascii="Arial" w:hAnsi="Arial" w:cs="Arial"/>
          <w:b/>
          <w:bCs/>
        </w:rPr>
        <w:t xml:space="preserve"> recommendations </w:t>
      </w:r>
    </w:p>
    <w:p w14:paraId="379B6F9F" w14:textId="77777777" w:rsidR="00B66E12" w:rsidRPr="007738CD" w:rsidRDefault="00420267" w:rsidP="007738CD">
      <w:pPr>
        <w:spacing w:before="120" w:after="120" w:line="240" w:lineRule="auto"/>
        <w:rPr>
          <w:rFonts w:ascii="Arial" w:hAnsi="Arial" w:cs="Arial"/>
          <w:i/>
          <w:iCs/>
          <w:u w:val="single"/>
        </w:rPr>
      </w:pPr>
      <w:r w:rsidRPr="007738CD">
        <w:rPr>
          <w:rFonts w:ascii="Arial" w:hAnsi="Arial" w:cs="Arial"/>
        </w:rPr>
        <w:t xml:space="preserve">In high-level terms, Camden supported 14,287 resolutions in 2025, which equates to support of </w:t>
      </w:r>
      <w:r w:rsidR="00C85B8F" w:rsidRPr="007738CD">
        <w:rPr>
          <w:rFonts w:ascii="Arial" w:hAnsi="Arial" w:cs="Arial"/>
        </w:rPr>
        <w:t>59.44</w:t>
      </w:r>
      <w:r w:rsidRPr="007738CD">
        <w:rPr>
          <w:rFonts w:ascii="Arial" w:hAnsi="Arial" w:cs="Arial"/>
        </w:rPr>
        <w:t>%</w:t>
      </w:r>
      <w:r w:rsidR="004C5EF0" w:rsidRPr="007738CD">
        <w:rPr>
          <w:rFonts w:ascii="Arial" w:hAnsi="Arial" w:cs="Arial"/>
        </w:rPr>
        <w:t xml:space="preserve">. </w:t>
      </w:r>
      <w:r w:rsidR="00DE7226" w:rsidRPr="007738CD">
        <w:rPr>
          <w:rFonts w:ascii="Arial" w:hAnsi="Arial" w:cs="Arial"/>
        </w:rPr>
        <w:t>In terms of opposition, Camden opposed 8,879 resolutions, equa</w:t>
      </w:r>
      <w:r w:rsidR="00253A43" w:rsidRPr="007738CD">
        <w:rPr>
          <w:rFonts w:ascii="Arial" w:hAnsi="Arial" w:cs="Arial"/>
        </w:rPr>
        <w:t xml:space="preserve">ting to almost 37%. </w:t>
      </w:r>
      <w:r w:rsidR="00524484" w:rsidRPr="007738CD">
        <w:rPr>
          <w:rFonts w:ascii="Arial" w:hAnsi="Arial" w:cs="Arial"/>
        </w:rPr>
        <w:t xml:space="preserve">Comparatively, </w:t>
      </w:r>
      <w:r w:rsidR="008376B1" w:rsidRPr="007738CD">
        <w:rPr>
          <w:rFonts w:ascii="Arial" w:hAnsi="Arial" w:cs="Arial"/>
        </w:rPr>
        <w:t xml:space="preserve">in </w:t>
      </w:r>
      <w:r w:rsidR="00C85B8F" w:rsidRPr="007738CD">
        <w:rPr>
          <w:rFonts w:ascii="Arial" w:hAnsi="Arial" w:cs="Arial"/>
        </w:rPr>
        <w:t>proportional terms, these figures are very sim</w:t>
      </w:r>
      <w:r w:rsidR="00BD5289" w:rsidRPr="007738CD">
        <w:rPr>
          <w:rFonts w:ascii="Arial" w:hAnsi="Arial" w:cs="Arial"/>
        </w:rPr>
        <w:t xml:space="preserve">ilar to 2024. </w:t>
      </w:r>
      <w:r w:rsidR="001A6180" w:rsidRPr="007738CD">
        <w:rPr>
          <w:rFonts w:ascii="Arial" w:hAnsi="Arial" w:cs="Arial"/>
        </w:rPr>
        <w:t xml:space="preserve">However, </w:t>
      </w:r>
      <w:r w:rsidR="00E11F50" w:rsidRPr="007738CD">
        <w:rPr>
          <w:rFonts w:ascii="Arial" w:hAnsi="Arial" w:cs="Arial"/>
        </w:rPr>
        <w:t>levels of support increased marginally from 58.52% and levels of opposition decreased</w:t>
      </w:r>
      <w:r w:rsidR="002B399B" w:rsidRPr="007738CD">
        <w:rPr>
          <w:rFonts w:ascii="Arial" w:hAnsi="Arial" w:cs="Arial"/>
        </w:rPr>
        <w:t xml:space="preserve"> slightly</w:t>
      </w:r>
      <w:r w:rsidR="00E11F50" w:rsidRPr="007738CD">
        <w:rPr>
          <w:rFonts w:ascii="Arial" w:hAnsi="Arial" w:cs="Arial"/>
        </w:rPr>
        <w:t xml:space="preserve"> from</w:t>
      </w:r>
      <w:r w:rsidR="00877C26" w:rsidRPr="007738CD">
        <w:rPr>
          <w:rFonts w:ascii="Arial" w:hAnsi="Arial" w:cs="Arial"/>
        </w:rPr>
        <w:t xml:space="preserve"> 38.09%.</w:t>
      </w:r>
      <w:r w:rsidR="00B66E12" w:rsidRPr="007738CD">
        <w:rPr>
          <w:rFonts w:ascii="Arial" w:hAnsi="Arial" w:cs="Arial"/>
          <w:i/>
          <w:iCs/>
          <w:u w:val="single"/>
        </w:rPr>
        <w:t xml:space="preserve"> </w:t>
      </w:r>
    </w:p>
    <w:p w14:paraId="7BC69B22" w14:textId="64DFE2D5" w:rsidR="00420267" w:rsidRPr="007738CD" w:rsidRDefault="00B66E12" w:rsidP="007738CD">
      <w:pPr>
        <w:spacing w:before="120" w:after="120" w:line="240" w:lineRule="auto"/>
        <w:rPr>
          <w:rFonts w:ascii="Arial" w:hAnsi="Arial" w:cs="Arial"/>
          <w:i/>
          <w:iCs/>
          <w:u w:val="single"/>
        </w:rPr>
      </w:pPr>
      <w:r w:rsidRPr="007738CD">
        <w:rPr>
          <w:rFonts w:ascii="Arial" w:hAnsi="Arial" w:cs="Arial"/>
          <w:i/>
          <w:iCs/>
          <w:u w:val="single"/>
        </w:rPr>
        <w:t>Table 4 – Vote recommendations</w:t>
      </w:r>
    </w:p>
    <w:tbl>
      <w:tblPr>
        <w:tblStyle w:val="TableGrid"/>
        <w:tblW w:w="0" w:type="auto"/>
        <w:tblInd w:w="893" w:type="dxa"/>
        <w:tblLook w:val="04A0" w:firstRow="1" w:lastRow="0" w:firstColumn="1" w:lastColumn="0" w:noHBand="0" w:noVBand="1"/>
      </w:tblPr>
      <w:tblGrid>
        <w:gridCol w:w="3005"/>
        <w:gridCol w:w="2110"/>
        <w:gridCol w:w="2110"/>
      </w:tblGrid>
      <w:tr w:rsidR="007738CD" w:rsidRPr="007738CD" w14:paraId="348C4088" w14:textId="77777777" w:rsidTr="006414C9">
        <w:trPr>
          <w:trHeight w:val="269"/>
        </w:trPr>
        <w:tc>
          <w:tcPr>
            <w:tcW w:w="3005" w:type="dxa"/>
            <w:shd w:val="clear" w:color="auto" w:fill="153D63" w:themeFill="text2" w:themeFillTint="E6"/>
          </w:tcPr>
          <w:p w14:paraId="2D9414F7" w14:textId="77777777" w:rsidR="00203FB8" w:rsidRPr="007738CD" w:rsidRDefault="00203FB8" w:rsidP="007738CD">
            <w:pPr>
              <w:rPr>
                <w:rFonts w:ascii="Arial" w:hAnsi="Arial" w:cs="Arial"/>
                <w:b/>
                <w:bCs/>
              </w:rPr>
            </w:pPr>
            <w:r w:rsidRPr="007738CD">
              <w:rPr>
                <w:rFonts w:ascii="Arial" w:hAnsi="Arial" w:cs="Arial"/>
                <w:b/>
                <w:bCs/>
              </w:rPr>
              <w:t>Vote category</w:t>
            </w:r>
          </w:p>
        </w:tc>
        <w:tc>
          <w:tcPr>
            <w:tcW w:w="2110" w:type="dxa"/>
            <w:shd w:val="clear" w:color="auto" w:fill="153D63" w:themeFill="text2" w:themeFillTint="E6"/>
          </w:tcPr>
          <w:p w14:paraId="24F50FBD" w14:textId="77777777" w:rsidR="00203FB8" w:rsidRPr="007738CD" w:rsidRDefault="00203FB8" w:rsidP="007738CD">
            <w:pPr>
              <w:rPr>
                <w:rFonts w:ascii="Arial" w:hAnsi="Arial" w:cs="Arial"/>
                <w:b/>
                <w:bCs/>
              </w:rPr>
            </w:pPr>
            <w:r w:rsidRPr="007738CD">
              <w:rPr>
                <w:rFonts w:ascii="Arial" w:hAnsi="Arial" w:cs="Arial"/>
                <w:b/>
                <w:bCs/>
              </w:rPr>
              <w:t>Count</w:t>
            </w:r>
          </w:p>
        </w:tc>
        <w:tc>
          <w:tcPr>
            <w:tcW w:w="2110" w:type="dxa"/>
            <w:shd w:val="clear" w:color="auto" w:fill="153D63" w:themeFill="text2" w:themeFillTint="E6"/>
          </w:tcPr>
          <w:p w14:paraId="68698E7D" w14:textId="77777777" w:rsidR="00203FB8" w:rsidRPr="007738CD" w:rsidRDefault="00203FB8" w:rsidP="007738CD">
            <w:pPr>
              <w:rPr>
                <w:rFonts w:ascii="Arial" w:hAnsi="Arial" w:cs="Arial"/>
                <w:b/>
                <w:bCs/>
              </w:rPr>
            </w:pPr>
            <w:r w:rsidRPr="007738CD">
              <w:rPr>
                <w:rFonts w:ascii="Arial" w:hAnsi="Arial" w:cs="Arial"/>
                <w:b/>
                <w:bCs/>
              </w:rPr>
              <w:t>Percentage</w:t>
            </w:r>
          </w:p>
        </w:tc>
      </w:tr>
      <w:tr w:rsidR="007738CD" w:rsidRPr="007738CD" w14:paraId="4E994ABE" w14:textId="77777777" w:rsidTr="006414C9">
        <w:trPr>
          <w:trHeight w:val="269"/>
        </w:trPr>
        <w:tc>
          <w:tcPr>
            <w:tcW w:w="3005" w:type="dxa"/>
            <w:shd w:val="clear" w:color="auto" w:fill="DAE9F7" w:themeFill="text2" w:themeFillTint="1A"/>
          </w:tcPr>
          <w:p w14:paraId="03946333" w14:textId="77777777" w:rsidR="00B746FF" w:rsidRPr="007738CD" w:rsidRDefault="00B746FF" w:rsidP="007738CD">
            <w:pPr>
              <w:rPr>
                <w:rFonts w:ascii="Arial" w:hAnsi="Arial" w:cs="Arial"/>
              </w:rPr>
            </w:pPr>
            <w:r w:rsidRPr="007738CD">
              <w:rPr>
                <w:rFonts w:ascii="Arial" w:hAnsi="Arial" w:cs="Arial"/>
              </w:rPr>
              <w:t>For</w:t>
            </w:r>
          </w:p>
        </w:tc>
        <w:tc>
          <w:tcPr>
            <w:tcW w:w="2110" w:type="dxa"/>
          </w:tcPr>
          <w:p w14:paraId="6EAE3B12" w14:textId="754EED5F" w:rsidR="00B746FF" w:rsidRPr="007738CD" w:rsidRDefault="00B746FF" w:rsidP="007738CD">
            <w:pPr>
              <w:rPr>
                <w:rFonts w:ascii="Arial" w:hAnsi="Arial" w:cs="Arial"/>
              </w:rPr>
            </w:pPr>
            <w:r w:rsidRPr="007738CD">
              <w:rPr>
                <w:rFonts w:ascii="Arial" w:hAnsi="Arial" w:cs="Arial"/>
              </w:rPr>
              <w:t>14,287</w:t>
            </w:r>
          </w:p>
        </w:tc>
        <w:tc>
          <w:tcPr>
            <w:tcW w:w="2110" w:type="dxa"/>
          </w:tcPr>
          <w:p w14:paraId="2D1D0D70" w14:textId="1D8E6EB3" w:rsidR="00B746FF" w:rsidRPr="007738CD" w:rsidRDefault="00B746FF" w:rsidP="007738CD">
            <w:pPr>
              <w:rPr>
                <w:rFonts w:ascii="Arial" w:hAnsi="Arial" w:cs="Arial"/>
              </w:rPr>
            </w:pPr>
            <w:r w:rsidRPr="007738CD">
              <w:rPr>
                <w:rFonts w:ascii="Arial" w:hAnsi="Arial" w:cs="Arial"/>
              </w:rPr>
              <w:t>59.44%</w:t>
            </w:r>
          </w:p>
        </w:tc>
      </w:tr>
      <w:tr w:rsidR="007738CD" w:rsidRPr="007738CD" w14:paraId="0EFEE643" w14:textId="77777777" w:rsidTr="006414C9">
        <w:trPr>
          <w:trHeight w:val="269"/>
        </w:trPr>
        <w:tc>
          <w:tcPr>
            <w:tcW w:w="3005" w:type="dxa"/>
            <w:shd w:val="clear" w:color="auto" w:fill="DAE9F7" w:themeFill="text2" w:themeFillTint="1A"/>
          </w:tcPr>
          <w:p w14:paraId="69D538AE" w14:textId="77777777" w:rsidR="00B746FF" w:rsidRPr="007738CD" w:rsidRDefault="00B746FF" w:rsidP="007738CD">
            <w:pPr>
              <w:rPr>
                <w:rFonts w:ascii="Arial" w:hAnsi="Arial" w:cs="Arial"/>
              </w:rPr>
            </w:pPr>
            <w:r w:rsidRPr="007738CD">
              <w:rPr>
                <w:rFonts w:ascii="Arial" w:hAnsi="Arial" w:cs="Arial"/>
              </w:rPr>
              <w:t>Abstain</w:t>
            </w:r>
          </w:p>
        </w:tc>
        <w:tc>
          <w:tcPr>
            <w:tcW w:w="2110" w:type="dxa"/>
          </w:tcPr>
          <w:p w14:paraId="33EC6D5D" w14:textId="5E80A3A9" w:rsidR="00B746FF" w:rsidRPr="007738CD" w:rsidRDefault="00B746FF" w:rsidP="007738CD">
            <w:pPr>
              <w:rPr>
                <w:rFonts w:ascii="Arial" w:hAnsi="Arial" w:cs="Arial"/>
              </w:rPr>
            </w:pPr>
            <w:r w:rsidRPr="007738CD">
              <w:rPr>
                <w:rFonts w:ascii="Arial" w:hAnsi="Arial" w:cs="Arial"/>
              </w:rPr>
              <w:t>13</w:t>
            </w:r>
          </w:p>
        </w:tc>
        <w:tc>
          <w:tcPr>
            <w:tcW w:w="2110" w:type="dxa"/>
          </w:tcPr>
          <w:p w14:paraId="102C4FD2" w14:textId="7C39839E" w:rsidR="00B746FF" w:rsidRPr="007738CD" w:rsidRDefault="00B746FF" w:rsidP="007738CD">
            <w:pPr>
              <w:rPr>
                <w:rFonts w:ascii="Arial" w:hAnsi="Arial" w:cs="Arial"/>
              </w:rPr>
            </w:pPr>
            <w:r w:rsidRPr="007738CD">
              <w:rPr>
                <w:rFonts w:ascii="Arial" w:hAnsi="Arial" w:cs="Arial"/>
              </w:rPr>
              <w:t>0.05%</w:t>
            </w:r>
          </w:p>
        </w:tc>
      </w:tr>
      <w:tr w:rsidR="007738CD" w:rsidRPr="007738CD" w14:paraId="1B5D299E" w14:textId="77777777" w:rsidTr="006414C9">
        <w:trPr>
          <w:trHeight w:val="269"/>
        </w:trPr>
        <w:tc>
          <w:tcPr>
            <w:tcW w:w="3005" w:type="dxa"/>
            <w:shd w:val="clear" w:color="auto" w:fill="DAE9F7" w:themeFill="text2" w:themeFillTint="1A"/>
          </w:tcPr>
          <w:p w14:paraId="63D449F1" w14:textId="77777777" w:rsidR="00B746FF" w:rsidRPr="007738CD" w:rsidRDefault="00B746FF" w:rsidP="007738CD">
            <w:pPr>
              <w:rPr>
                <w:rFonts w:ascii="Arial" w:hAnsi="Arial" w:cs="Arial"/>
              </w:rPr>
            </w:pPr>
            <w:r w:rsidRPr="007738CD">
              <w:rPr>
                <w:rFonts w:ascii="Arial" w:hAnsi="Arial" w:cs="Arial"/>
              </w:rPr>
              <w:t>Oppose</w:t>
            </w:r>
          </w:p>
        </w:tc>
        <w:tc>
          <w:tcPr>
            <w:tcW w:w="2110" w:type="dxa"/>
          </w:tcPr>
          <w:p w14:paraId="622585D4" w14:textId="6FF55304" w:rsidR="00B746FF" w:rsidRPr="007738CD" w:rsidRDefault="00B746FF" w:rsidP="007738CD">
            <w:pPr>
              <w:rPr>
                <w:rFonts w:ascii="Arial" w:hAnsi="Arial" w:cs="Arial"/>
              </w:rPr>
            </w:pPr>
            <w:r w:rsidRPr="007738CD">
              <w:rPr>
                <w:rFonts w:ascii="Arial" w:hAnsi="Arial" w:cs="Arial"/>
              </w:rPr>
              <w:t>8,879</w:t>
            </w:r>
          </w:p>
        </w:tc>
        <w:tc>
          <w:tcPr>
            <w:tcW w:w="2110" w:type="dxa"/>
          </w:tcPr>
          <w:p w14:paraId="548C09B4" w14:textId="457B4640" w:rsidR="00B746FF" w:rsidRPr="007738CD" w:rsidRDefault="00B746FF" w:rsidP="007738CD">
            <w:pPr>
              <w:rPr>
                <w:rFonts w:ascii="Arial" w:hAnsi="Arial" w:cs="Arial"/>
              </w:rPr>
            </w:pPr>
            <w:r w:rsidRPr="007738CD">
              <w:rPr>
                <w:rFonts w:ascii="Arial" w:hAnsi="Arial" w:cs="Arial"/>
              </w:rPr>
              <w:t>36.94%</w:t>
            </w:r>
          </w:p>
        </w:tc>
      </w:tr>
      <w:tr w:rsidR="007738CD" w:rsidRPr="007738CD" w14:paraId="1AB8017A" w14:textId="77777777" w:rsidTr="006414C9">
        <w:trPr>
          <w:trHeight w:val="269"/>
        </w:trPr>
        <w:tc>
          <w:tcPr>
            <w:tcW w:w="3005" w:type="dxa"/>
            <w:shd w:val="clear" w:color="auto" w:fill="DAE9F7" w:themeFill="text2" w:themeFillTint="1A"/>
          </w:tcPr>
          <w:p w14:paraId="6012431A" w14:textId="77777777" w:rsidR="00B746FF" w:rsidRPr="007738CD" w:rsidRDefault="00B746FF" w:rsidP="007738CD">
            <w:pPr>
              <w:rPr>
                <w:rFonts w:ascii="Arial" w:hAnsi="Arial" w:cs="Arial"/>
              </w:rPr>
            </w:pPr>
            <w:r w:rsidRPr="007738CD">
              <w:rPr>
                <w:rFonts w:ascii="Arial" w:hAnsi="Arial" w:cs="Arial"/>
              </w:rPr>
              <w:t>Non-voting</w:t>
            </w:r>
          </w:p>
        </w:tc>
        <w:tc>
          <w:tcPr>
            <w:tcW w:w="2110" w:type="dxa"/>
          </w:tcPr>
          <w:p w14:paraId="37A518D5" w14:textId="6C43B498" w:rsidR="00B746FF" w:rsidRPr="007738CD" w:rsidRDefault="00B746FF" w:rsidP="007738CD">
            <w:pPr>
              <w:rPr>
                <w:rFonts w:ascii="Arial" w:hAnsi="Arial" w:cs="Arial"/>
              </w:rPr>
            </w:pPr>
            <w:r w:rsidRPr="007738CD">
              <w:rPr>
                <w:rFonts w:ascii="Arial" w:hAnsi="Arial" w:cs="Arial"/>
              </w:rPr>
              <w:t>374</w:t>
            </w:r>
          </w:p>
        </w:tc>
        <w:tc>
          <w:tcPr>
            <w:tcW w:w="2110" w:type="dxa"/>
          </w:tcPr>
          <w:p w14:paraId="53B67BCB" w14:textId="2542D6D9" w:rsidR="00B746FF" w:rsidRPr="007738CD" w:rsidRDefault="00B746FF" w:rsidP="007738CD">
            <w:pPr>
              <w:rPr>
                <w:rFonts w:ascii="Arial" w:hAnsi="Arial" w:cs="Arial"/>
              </w:rPr>
            </w:pPr>
            <w:r w:rsidRPr="007738CD">
              <w:rPr>
                <w:rFonts w:ascii="Arial" w:hAnsi="Arial" w:cs="Arial"/>
              </w:rPr>
              <w:t>1.56%</w:t>
            </w:r>
          </w:p>
        </w:tc>
      </w:tr>
      <w:tr w:rsidR="007738CD" w:rsidRPr="007738CD" w14:paraId="55BC0AA0" w14:textId="77777777" w:rsidTr="006414C9">
        <w:trPr>
          <w:trHeight w:val="269"/>
        </w:trPr>
        <w:tc>
          <w:tcPr>
            <w:tcW w:w="3005" w:type="dxa"/>
            <w:shd w:val="clear" w:color="auto" w:fill="DAE9F7" w:themeFill="text2" w:themeFillTint="1A"/>
          </w:tcPr>
          <w:p w14:paraId="201D59EC" w14:textId="77777777" w:rsidR="00B746FF" w:rsidRPr="007738CD" w:rsidRDefault="00B746FF" w:rsidP="007738CD">
            <w:pPr>
              <w:rPr>
                <w:rFonts w:ascii="Arial" w:hAnsi="Arial" w:cs="Arial"/>
              </w:rPr>
            </w:pPr>
            <w:r w:rsidRPr="007738CD">
              <w:rPr>
                <w:rFonts w:ascii="Arial" w:hAnsi="Arial" w:cs="Arial"/>
              </w:rPr>
              <w:t>Withheld</w:t>
            </w:r>
          </w:p>
        </w:tc>
        <w:tc>
          <w:tcPr>
            <w:tcW w:w="2110" w:type="dxa"/>
          </w:tcPr>
          <w:p w14:paraId="210F79D8" w14:textId="7C741D68" w:rsidR="00B746FF" w:rsidRPr="007738CD" w:rsidRDefault="00B746FF" w:rsidP="007738CD">
            <w:pPr>
              <w:rPr>
                <w:rFonts w:ascii="Arial" w:hAnsi="Arial" w:cs="Arial"/>
              </w:rPr>
            </w:pPr>
            <w:r w:rsidRPr="007738CD">
              <w:rPr>
                <w:rFonts w:ascii="Arial" w:hAnsi="Arial" w:cs="Arial"/>
              </w:rPr>
              <w:t>448</w:t>
            </w:r>
          </w:p>
        </w:tc>
        <w:tc>
          <w:tcPr>
            <w:tcW w:w="2110" w:type="dxa"/>
          </w:tcPr>
          <w:p w14:paraId="69C21567" w14:textId="10391542" w:rsidR="00B746FF" w:rsidRPr="007738CD" w:rsidRDefault="00B746FF" w:rsidP="007738CD">
            <w:pPr>
              <w:rPr>
                <w:rFonts w:ascii="Arial" w:hAnsi="Arial" w:cs="Arial"/>
              </w:rPr>
            </w:pPr>
            <w:r w:rsidRPr="007738CD">
              <w:rPr>
                <w:rFonts w:ascii="Arial" w:hAnsi="Arial" w:cs="Arial"/>
              </w:rPr>
              <w:t>1.86%</w:t>
            </w:r>
          </w:p>
        </w:tc>
      </w:tr>
      <w:tr w:rsidR="007738CD" w:rsidRPr="007738CD" w14:paraId="02AA8BFE" w14:textId="77777777" w:rsidTr="006414C9">
        <w:trPr>
          <w:trHeight w:val="269"/>
        </w:trPr>
        <w:tc>
          <w:tcPr>
            <w:tcW w:w="3005" w:type="dxa"/>
            <w:shd w:val="clear" w:color="auto" w:fill="DAE9F7" w:themeFill="text2" w:themeFillTint="1A"/>
          </w:tcPr>
          <w:p w14:paraId="29F07FC8" w14:textId="77777777" w:rsidR="00B746FF" w:rsidRPr="007738CD" w:rsidRDefault="00B746FF" w:rsidP="007738CD">
            <w:pPr>
              <w:rPr>
                <w:rFonts w:ascii="Arial" w:hAnsi="Arial" w:cs="Arial"/>
              </w:rPr>
            </w:pPr>
            <w:r w:rsidRPr="007738CD">
              <w:rPr>
                <w:rFonts w:ascii="Arial" w:hAnsi="Arial" w:cs="Arial"/>
              </w:rPr>
              <w:t>US frequency vote on pay</w:t>
            </w:r>
          </w:p>
        </w:tc>
        <w:tc>
          <w:tcPr>
            <w:tcW w:w="2110" w:type="dxa"/>
          </w:tcPr>
          <w:p w14:paraId="0A62E577" w14:textId="0D991818" w:rsidR="00B746FF" w:rsidRPr="007738CD" w:rsidRDefault="00B746FF" w:rsidP="007738CD">
            <w:pPr>
              <w:rPr>
                <w:rFonts w:ascii="Arial" w:hAnsi="Arial" w:cs="Arial"/>
              </w:rPr>
            </w:pPr>
            <w:r w:rsidRPr="007738CD">
              <w:rPr>
                <w:rFonts w:ascii="Arial" w:hAnsi="Arial" w:cs="Arial"/>
              </w:rPr>
              <w:t>18</w:t>
            </w:r>
          </w:p>
        </w:tc>
        <w:tc>
          <w:tcPr>
            <w:tcW w:w="2110" w:type="dxa"/>
          </w:tcPr>
          <w:p w14:paraId="0F09B67D" w14:textId="78F130F5" w:rsidR="00B746FF" w:rsidRPr="007738CD" w:rsidRDefault="00B746FF" w:rsidP="007738CD">
            <w:pPr>
              <w:rPr>
                <w:rFonts w:ascii="Arial" w:hAnsi="Arial" w:cs="Arial"/>
              </w:rPr>
            </w:pPr>
            <w:r w:rsidRPr="007738CD">
              <w:rPr>
                <w:rFonts w:ascii="Arial" w:hAnsi="Arial" w:cs="Arial"/>
              </w:rPr>
              <w:t>0.07%</w:t>
            </w:r>
          </w:p>
        </w:tc>
      </w:tr>
      <w:tr w:rsidR="007738CD" w:rsidRPr="007738CD" w14:paraId="760908E3" w14:textId="77777777" w:rsidTr="006414C9">
        <w:trPr>
          <w:trHeight w:val="269"/>
        </w:trPr>
        <w:tc>
          <w:tcPr>
            <w:tcW w:w="3005" w:type="dxa"/>
            <w:shd w:val="clear" w:color="auto" w:fill="DAE9F7" w:themeFill="text2" w:themeFillTint="1A"/>
          </w:tcPr>
          <w:p w14:paraId="63C933B0" w14:textId="77777777" w:rsidR="00B746FF" w:rsidRPr="007738CD" w:rsidRDefault="00B746FF" w:rsidP="007738CD">
            <w:pPr>
              <w:rPr>
                <w:rFonts w:ascii="Arial" w:hAnsi="Arial" w:cs="Arial"/>
              </w:rPr>
            </w:pPr>
            <w:r w:rsidRPr="007738CD">
              <w:rPr>
                <w:rFonts w:ascii="Arial" w:hAnsi="Arial" w:cs="Arial"/>
              </w:rPr>
              <w:t>Withdrawn</w:t>
            </w:r>
          </w:p>
        </w:tc>
        <w:tc>
          <w:tcPr>
            <w:tcW w:w="2110" w:type="dxa"/>
          </w:tcPr>
          <w:p w14:paraId="38D0CB6B" w14:textId="453E0731" w:rsidR="00B746FF" w:rsidRPr="007738CD" w:rsidRDefault="00B746FF" w:rsidP="007738CD">
            <w:pPr>
              <w:rPr>
                <w:rFonts w:ascii="Arial" w:hAnsi="Arial" w:cs="Arial"/>
              </w:rPr>
            </w:pPr>
            <w:r w:rsidRPr="007738CD">
              <w:rPr>
                <w:rFonts w:ascii="Arial" w:hAnsi="Arial" w:cs="Arial"/>
              </w:rPr>
              <w:t>11</w:t>
            </w:r>
          </w:p>
        </w:tc>
        <w:tc>
          <w:tcPr>
            <w:tcW w:w="2110" w:type="dxa"/>
          </w:tcPr>
          <w:p w14:paraId="3D18A89B" w14:textId="57F018BE" w:rsidR="00B746FF" w:rsidRPr="007738CD" w:rsidRDefault="00B746FF" w:rsidP="007738CD">
            <w:pPr>
              <w:rPr>
                <w:rFonts w:ascii="Arial" w:hAnsi="Arial" w:cs="Arial"/>
              </w:rPr>
            </w:pPr>
            <w:r w:rsidRPr="007738CD">
              <w:rPr>
                <w:rFonts w:ascii="Arial" w:hAnsi="Arial" w:cs="Arial"/>
              </w:rPr>
              <w:t>0.05%</w:t>
            </w:r>
          </w:p>
        </w:tc>
      </w:tr>
      <w:tr w:rsidR="007738CD" w:rsidRPr="007738CD" w14:paraId="16A5C7C8" w14:textId="77777777" w:rsidTr="006414C9">
        <w:trPr>
          <w:trHeight w:val="269"/>
        </w:trPr>
        <w:tc>
          <w:tcPr>
            <w:tcW w:w="3005" w:type="dxa"/>
            <w:shd w:val="clear" w:color="auto" w:fill="DAE9F7" w:themeFill="text2" w:themeFillTint="1A"/>
          </w:tcPr>
          <w:p w14:paraId="53A6F0B6" w14:textId="77777777" w:rsidR="00B746FF" w:rsidRPr="007738CD" w:rsidRDefault="00B746FF" w:rsidP="007738CD">
            <w:pPr>
              <w:rPr>
                <w:rFonts w:ascii="Arial" w:hAnsi="Arial" w:cs="Arial"/>
              </w:rPr>
            </w:pPr>
            <w:r w:rsidRPr="007738CD">
              <w:rPr>
                <w:rFonts w:ascii="Arial" w:hAnsi="Arial" w:cs="Arial"/>
              </w:rPr>
              <w:t>Not supported</w:t>
            </w:r>
          </w:p>
        </w:tc>
        <w:tc>
          <w:tcPr>
            <w:tcW w:w="2110" w:type="dxa"/>
          </w:tcPr>
          <w:p w14:paraId="466D66E2" w14:textId="77A6BEA9" w:rsidR="00B746FF" w:rsidRPr="007738CD" w:rsidRDefault="00B746FF" w:rsidP="007738CD">
            <w:pPr>
              <w:rPr>
                <w:rFonts w:ascii="Arial" w:hAnsi="Arial" w:cs="Arial"/>
              </w:rPr>
            </w:pPr>
            <w:r w:rsidRPr="007738CD">
              <w:rPr>
                <w:rFonts w:ascii="Arial" w:hAnsi="Arial" w:cs="Arial"/>
              </w:rPr>
              <w:t>6</w:t>
            </w:r>
          </w:p>
        </w:tc>
        <w:tc>
          <w:tcPr>
            <w:tcW w:w="2110" w:type="dxa"/>
          </w:tcPr>
          <w:p w14:paraId="6E10D419" w14:textId="30F22709" w:rsidR="00B746FF" w:rsidRPr="007738CD" w:rsidRDefault="00B746FF" w:rsidP="007738CD">
            <w:pPr>
              <w:rPr>
                <w:rFonts w:ascii="Arial" w:hAnsi="Arial" w:cs="Arial"/>
              </w:rPr>
            </w:pPr>
            <w:r w:rsidRPr="007738CD">
              <w:rPr>
                <w:rFonts w:ascii="Arial" w:hAnsi="Arial" w:cs="Arial"/>
              </w:rPr>
              <w:t>0.02%</w:t>
            </w:r>
          </w:p>
        </w:tc>
      </w:tr>
      <w:tr w:rsidR="007738CD" w:rsidRPr="007738CD" w14:paraId="45DFA674" w14:textId="77777777" w:rsidTr="006414C9">
        <w:trPr>
          <w:trHeight w:val="269"/>
        </w:trPr>
        <w:tc>
          <w:tcPr>
            <w:tcW w:w="3005" w:type="dxa"/>
            <w:shd w:val="clear" w:color="auto" w:fill="153D63" w:themeFill="text2" w:themeFillTint="E6"/>
          </w:tcPr>
          <w:p w14:paraId="70EE1181" w14:textId="77777777" w:rsidR="00B746FF" w:rsidRPr="007738CD" w:rsidRDefault="00B746FF" w:rsidP="007738CD">
            <w:pPr>
              <w:rPr>
                <w:rFonts w:ascii="Arial" w:hAnsi="Arial" w:cs="Arial"/>
                <w:b/>
                <w:bCs/>
              </w:rPr>
            </w:pPr>
            <w:r w:rsidRPr="007738CD">
              <w:rPr>
                <w:rFonts w:ascii="Arial" w:hAnsi="Arial" w:cs="Arial"/>
                <w:b/>
                <w:bCs/>
              </w:rPr>
              <w:t xml:space="preserve">Total </w:t>
            </w:r>
          </w:p>
        </w:tc>
        <w:tc>
          <w:tcPr>
            <w:tcW w:w="2110" w:type="dxa"/>
            <w:shd w:val="clear" w:color="auto" w:fill="153D63" w:themeFill="text2" w:themeFillTint="E6"/>
          </w:tcPr>
          <w:p w14:paraId="7822777F" w14:textId="16C8F163" w:rsidR="00B746FF" w:rsidRPr="007738CD" w:rsidRDefault="00B746FF" w:rsidP="007738CD">
            <w:pPr>
              <w:rPr>
                <w:rFonts w:ascii="Arial" w:hAnsi="Arial" w:cs="Arial"/>
                <w:b/>
                <w:bCs/>
              </w:rPr>
            </w:pPr>
            <w:r w:rsidRPr="007738CD">
              <w:rPr>
                <w:rFonts w:ascii="Arial" w:hAnsi="Arial" w:cs="Arial"/>
                <w:b/>
                <w:bCs/>
              </w:rPr>
              <w:t>24,036</w:t>
            </w:r>
            <w:r w:rsidR="005F00D8" w:rsidRPr="007738CD">
              <w:rPr>
                <w:rStyle w:val="FootnoteReference"/>
                <w:rFonts w:ascii="Arial" w:hAnsi="Arial" w:cs="Arial"/>
                <w:b/>
                <w:bCs/>
              </w:rPr>
              <w:footnoteReference w:id="4"/>
            </w:r>
          </w:p>
        </w:tc>
        <w:tc>
          <w:tcPr>
            <w:tcW w:w="2110" w:type="dxa"/>
            <w:shd w:val="clear" w:color="auto" w:fill="153D63" w:themeFill="text2" w:themeFillTint="E6"/>
          </w:tcPr>
          <w:p w14:paraId="5D4F4A3B" w14:textId="54D06154" w:rsidR="00B746FF" w:rsidRPr="007738CD" w:rsidRDefault="00B746FF" w:rsidP="007738CD">
            <w:pPr>
              <w:rPr>
                <w:rFonts w:ascii="Arial" w:hAnsi="Arial" w:cs="Arial"/>
                <w:b/>
                <w:bCs/>
              </w:rPr>
            </w:pPr>
            <w:r w:rsidRPr="007738CD">
              <w:rPr>
                <w:rFonts w:ascii="Arial" w:hAnsi="Arial" w:cs="Arial"/>
                <w:b/>
                <w:bCs/>
              </w:rPr>
              <w:t>100%</w:t>
            </w:r>
          </w:p>
        </w:tc>
      </w:tr>
    </w:tbl>
    <w:p w14:paraId="300194FF" w14:textId="77777777" w:rsidR="00203FB8" w:rsidRPr="007738CD" w:rsidRDefault="00203FB8" w:rsidP="007738CD">
      <w:pPr>
        <w:spacing w:before="120" w:after="120" w:line="240" w:lineRule="auto"/>
        <w:rPr>
          <w:rFonts w:ascii="Arial" w:hAnsi="Arial" w:cs="Arial"/>
        </w:rPr>
      </w:pPr>
    </w:p>
    <w:p w14:paraId="2AD19801" w14:textId="77777777" w:rsidR="007738CD" w:rsidRPr="007738CD" w:rsidRDefault="007738CD" w:rsidP="007738CD">
      <w:pPr>
        <w:spacing w:before="120" w:after="120" w:line="240" w:lineRule="auto"/>
        <w:rPr>
          <w:rFonts w:ascii="Arial" w:hAnsi="Arial" w:cs="Arial"/>
          <w:b/>
          <w:bCs/>
        </w:rPr>
      </w:pPr>
      <w:r w:rsidRPr="007738CD">
        <w:rPr>
          <w:rFonts w:ascii="Arial" w:hAnsi="Arial" w:cs="Arial"/>
          <w:b/>
          <w:bCs/>
        </w:rPr>
        <w:br w:type="page"/>
      </w:r>
    </w:p>
    <w:p w14:paraId="47BDC0D8" w14:textId="0D4BAA51" w:rsidR="00203FB8" w:rsidRPr="007738CD" w:rsidRDefault="004A6CB3" w:rsidP="007738CD">
      <w:pPr>
        <w:spacing w:before="120" w:after="120" w:line="240" w:lineRule="auto"/>
        <w:rPr>
          <w:rFonts w:ascii="Arial" w:hAnsi="Arial" w:cs="Arial"/>
          <w:b/>
          <w:bCs/>
        </w:rPr>
      </w:pPr>
      <w:r w:rsidRPr="007738CD">
        <w:rPr>
          <w:rFonts w:ascii="Arial" w:hAnsi="Arial" w:cs="Arial"/>
          <w:b/>
          <w:bCs/>
        </w:rPr>
        <w:lastRenderedPageBreak/>
        <w:t xml:space="preserve">Support recommendations </w:t>
      </w:r>
    </w:p>
    <w:p w14:paraId="70913D7C" w14:textId="11654633" w:rsidR="00440997" w:rsidRPr="007738CD" w:rsidRDefault="00F83CB0" w:rsidP="007738CD">
      <w:pPr>
        <w:spacing w:before="120" w:after="120" w:line="240" w:lineRule="auto"/>
        <w:rPr>
          <w:rFonts w:ascii="Arial" w:hAnsi="Arial" w:cs="Arial"/>
        </w:rPr>
      </w:pPr>
      <w:r w:rsidRPr="007738CD">
        <w:rPr>
          <w:rFonts w:ascii="Arial" w:hAnsi="Arial" w:cs="Arial"/>
        </w:rPr>
        <w:t xml:space="preserve">Overall, levels of support in 2025 </w:t>
      </w:r>
      <w:r w:rsidR="002D472A" w:rsidRPr="007738CD">
        <w:rPr>
          <w:rFonts w:ascii="Arial" w:hAnsi="Arial" w:cs="Arial"/>
        </w:rPr>
        <w:t>(58.35%)</w:t>
      </w:r>
      <w:r w:rsidR="000476F3" w:rsidRPr="007738CD">
        <w:rPr>
          <w:rStyle w:val="FootnoteReference"/>
          <w:rFonts w:ascii="Arial" w:hAnsi="Arial" w:cs="Arial"/>
        </w:rPr>
        <w:footnoteReference w:id="5"/>
      </w:r>
      <w:r w:rsidR="002D472A" w:rsidRPr="007738CD">
        <w:rPr>
          <w:rFonts w:ascii="Arial" w:hAnsi="Arial" w:cs="Arial"/>
        </w:rPr>
        <w:t xml:space="preserve"> </w:t>
      </w:r>
      <w:r w:rsidRPr="007738CD">
        <w:rPr>
          <w:rFonts w:ascii="Arial" w:hAnsi="Arial" w:cs="Arial"/>
        </w:rPr>
        <w:t xml:space="preserve">were almost identical to </w:t>
      </w:r>
      <w:r w:rsidR="002D472A" w:rsidRPr="007738CD">
        <w:rPr>
          <w:rFonts w:ascii="Arial" w:hAnsi="Arial" w:cs="Arial"/>
        </w:rPr>
        <w:t xml:space="preserve">2024 (58.5%). </w:t>
      </w:r>
      <w:r w:rsidR="00B40975" w:rsidRPr="007738CD">
        <w:rPr>
          <w:rFonts w:ascii="Arial" w:hAnsi="Arial" w:cs="Arial"/>
        </w:rPr>
        <w:t>Notably</w:t>
      </w:r>
      <w:r w:rsidR="00CE535A" w:rsidRPr="007738CD">
        <w:rPr>
          <w:rFonts w:ascii="Arial" w:hAnsi="Arial" w:cs="Arial"/>
        </w:rPr>
        <w:t xml:space="preserve">, </w:t>
      </w:r>
      <w:r w:rsidR="00FC63BB" w:rsidRPr="007738CD">
        <w:rPr>
          <w:rFonts w:ascii="Arial" w:hAnsi="Arial" w:cs="Arial"/>
        </w:rPr>
        <w:t>l</w:t>
      </w:r>
      <w:r w:rsidR="00565B2F" w:rsidRPr="007738CD">
        <w:rPr>
          <w:rFonts w:ascii="Arial" w:hAnsi="Arial" w:cs="Arial"/>
        </w:rPr>
        <w:t xml:space="preserve">evels of support for </w:t>
      </w:r>
      <w:r w:rsidR="00CE535A" w:rsidRPr="007738CD">
        <w:rPr>
          <w:rFonts w:ascii="Arial" w:hAnsi="Arial" w:cs="Arial"/>
        </w:rPr>
        <w:t xml:space="preserve">directors </w:t>
      </w:r>
      <w:r w:rsidR="00565B2F" w:rsidRPr="007738CD">
        <w:rPr>
          <w:rFonts w:ascii="Arial" w:hAnsi="Arial" w:cs="Arial"/>
        </w:rPr>
        <w:t xml:space="preserve">decreased further from 65% in 2024 to </w:t>
      </w:r>
      <w:r w:rsidR="00DA4534" w:rsidRPr="007738CD">
        <w:rPr>
          <w:rFonts w:ascii="Arial" w:hAnsi="Arial" w:cs="Arial"/>
        </w:rPr>
        <w:t>just under 60% in 2025</w:t>
      </w:r>
      <w:r w:rsidR="00515A82" w:rsidRPr="007738CD">
        <w:rPr>
          <w:rFonts w:ascii="Arial" w:hAnsi="Arial" w:cs="Arial"/>
        </w:rPr>
        <w:t>. The decreasing level of support</w:t>
      </w:r>
      <w:r w:rsidR="00F32506" w:rsidRPr="007738CD">
        <w:rPr>
          <w:rFonts w:ascii="Arial" w:hAnsi="Arial" w:cs="Arial"/>
        </w:rPr>
        <w:t xml:space="preserve"> for directors</w:t>
      </w:r>
      <w:r w:rsidR="009762B3" w:rsidRPr="007738CD">
        <w:rPr>
          <w:rFonts w:ascii="Arial" w:hAnsi="Arial" w:cs="Arial"/>
        </w:rPr>
        <w:t xml:space="preserve"> is testament to </w:t>
      </w:r>
      <w:r w:rsidR="00F32506" w:rsidRPr="007738CD">
        <w:rPr>
          <w:rFonts w:ascii="Arial" w:hAnsi="Arial" w:cs="Arial"/>
        </w:rPr>
        <w:t xml:space="preserve">how Camden holds directors to </w:t>
      </w:r>
      <w:r w:rsidR="00242DC5" w:rsidRPr="007738CD">
        <w:rPr>
          <w:rFonts w:ascii="Arial" w:hAnsi="Arial" w:cs="Arial"/>
        </w:rPr>
        <w:t>account,</w:t>
      </w:r>
      <w:r w:rsidR="00F32506" w:rsidRPr="007738CD">
        <w:rPr>
          <w:rFonts w:ascii="Arial" w:hAnsi="Arial" w:cs="Arial"/>
        </w:rPr>
        <w:t xml:space="preserve"> and the </w:t>
      </w:r>
      <w:r w:rsidR="001A23BD" w:rsidRPr="007738CD">
        <w:rPr>
          <w:rFonts w:ascii="Arial" w:hAnsi="Arial" w:cs="Arial"/>
        </w:rPr>
        <w:t xml:space="preserve">high standards </w:t>
      </w:r>
      <w:r w:rsidR="007C417A" w:rsidRPr="007738CD">
        <w:rPr>
          <w:rFonts w:ascii="Arial" w:hAnsi="Arial" w:cs="Arial"/>
        </w:rPr>
        <w:t>expected of them</w:t>
      </w:r>
      <w:r w:rsidR="001A23BD" w:rsidRPr="007738CD">
        <w:rPr>
          <w:rFonts w:ascii="Arial" w:hAnsi="Arial" w:cs="Arial"/>
        </w:rPr>
        <w:t>.</w:t>
      </w:r>
      <w:r w:rsidR="007C417A" w:rsidRPr="007738CD">
        <w:rPr>
          <w:rFonts w:ascii="Arial" w:hAnsi="Arial" w:cs="Arial"/>
        </w:rPr>
        <w:t xml:space="preserve"> </w:t>
      </w:r>
      <w:r w:rsidR="001B6A37" w:rsidRPr="007738CD">
        <w:rPr>
          <w:rFonts w:ascii="Arial" w:hAnsi="Arial" w:cs="Arial"/>
        </w:rPr>
        <w:t xml:space="preserve">This includes issues around </w:t>
      </w:r>
      <w:r w:rsidR="00CB6846" w:rsidRPr="007738CD">
        <w:rPr>
          <w:rFonts w:ascii="Arial" w:hAnsi="Arial" w:cs="Arial"/>
        </w:rPr>
        <w:t xml:space="preserve">the level of </w:t>
      </w:r>
      <w:r w:rsidR="001B6A37" w:rsidRPr="007738CD">
        <w:rPr>
          <w:rFonts w:ascii="Arial" w:hAnsi="Arial" w:cs="Arial"/>
        </w:rPr>
        <w:t>independence</w:t>
      </w:r>
      <w:r w:rsidR="00E94EAC" w:rsidRPr="007738CD">
        <w:rPr>
          <w:rFonts w:ascii="Arial" w:hAnsi="Arial" w:cs="Arial"/>
        </w:rPr>
        <w:t xml:space="preserve"> of the board and </w:t>
      </w:r>
      <w:r w:rsidR="00580D6D" w:rsidRPr="007738CD">
        <w:rPr>
          <w:rFonts w:ascii="Arial" w:hAnsi="Arial" w:cs="Arial"/>
        </w:rPr>
        <w:t>its</w:t>
      </w:r>
      <w:r w:rsidR="00E94EAC" w:rsidRPr="007738CD">
        <w:rPr>
          <w:rFonts w:ascii="Arial" w:hAnsi="Arial" w:cs="Arial"/>
        </w:rPr>
        <w:t xml:space="preserve"> committees</w:t>
      </w:r>
      <w:r w:rsidR="00580D6D" w:rsidRPr="007738CD">
        <w:rPr>
          <w:rFonts w:ascii="Arial" w:hAnsi="Arial" w:cs="Arial"/>
        </w:rPr>
        <w:t xml:space="preserve">, and </w:t>
      </w:r>
      <w:r w:rsidR="00CB6846" w:rsidRPr="007738CD">
        <w:rPr>
          <w:rFonts w:ascii="Arial" w:hAnsi="Arial" w:cs="Arial"/>
        </w:rPr>
        <w:t xml:space="preserve">the </w:t>
      </w:r>
      <w:r w:rsidR="00E94EAC" w:rsidRPr="007738CD">
        <w:rPr>
          <w:rFonts w:ascii="Arial" w:hAnsi="Arial" w:cs="Arial"/>
        </w:rPr>
        <w:t xml:space="preserve">structure and composition of the board, </w:t>
      </w:r>
      <w:r w:rsidR="00D521C2" w:rsidRPr="007738CD">
        <w:rPr>
          <w:rFonts w:ascii="Arial" w:hAnsi="Arial" w:cs="Arial"/>
        </w:rPr>
        <w:t xml:space="preserve">including with respect to diversity and the competencies of members. </w:t>
      </w:r>
    </w:p>
    <w:p w14:paraId="28BC1335" w14:textId="1BAE8C2A" w:rsidR="00CE535A" w:rsidRPr="007738CD" w:rsidRDefault="00CE535A" w:rsidP="007738CD">
      <w:pPr>
        <w:spacing w:before="120" w:after="120" w:line="240" w:lineRule="auto"/>
        <w:rPr>
          <w:rFonts w:ascii="Arial" w:hAnsi="Arial" w:cs="Arial"/>
        </w:rPr>
      </w:pPr>
      <w:r w:rsidRPr="007738CD">
        <w:rPr>
          <w:rFonts w:ascii="Arial" w:hAnsi="Arial" w:cs="Arial"/>
        </w:rPr>
        <w:t>Similarly</w:t>
      </w:r>
      <w:r w:rsidR="0093463B" w:rsidRPr="007738CD">
        <w:rPr>
          <w:rFonts w:ascii="Arial" w:hAnsi="Arial" w:cs="Arial"/>
        </w:rPr>
        <w:t>,</w:t>
      </w:r>
      <w:r w:rsidRPr="007738CD">
        <w:rPr>
          <w:rFonts w:ascii="Arial" w:hAnsi="Arial" w:cs="Arial"/>
        </w:rPr>
        <w:t xml:space="preserve"> </w:t>
      </w:r>
      <w:r w:rsidR="00FC3E4A" w:rsidRPr="007738CD">
        <w:rPr>
          <w:rFonts w:ascii="Arial" w:hAnsi="Arial" w:cs="Arial"/>
        </w:rPr>
        <w:t xml:space="preserve">auditor-related resolutions also received </w:t>
      </w:r>
      <w:r w:rsidR="00406331" w:rsidRPr="007738CD">
        <w:rPr>
          <w:rFonts w:ascii="Arial" w:hAnsi="Arial" w:cs="Arial"/>
        </w:rPr>
        <w:t xml:space="preserve">a </w:t>
      </w:r>
      <w:r w:rsidR="0048603C" w:rsidRPr="007738CD">
        <w:rPr>
          <w:rFonts w:ascii="Arial" w:hAnsi="Arial" w:cs="Arial"/>
        </w:rPr>
        <w:t>comparatively low level of support when compared to other resol</w:t>
      </w:r>
      <w:r w:rsidR="0088355A" w:rsidRPr="007738CD">
        <w:rPr>
          <w:rFonts w:ascii="Arial" w:hAnsi="Arial" w:cs="Arial"/>
        </w:rPr>
        <w:t xml:space="preserve">utions. This level of support remained similar to the levels witnessed in 2024, but </w:t>
      </w:r>
      <w:r w:rsidR="008234B1" w:rsidRPr="007738CD">
        <w:rPr>
          <w:rFonts w:ascii="Arial" w:hAnsi="Arial" w:cs="Arial"/>
        </w:rPr>
        <w:t xml:space="preserve">it points </w:t>
      </w:r>
      <w:r w:rsidR="005A0E8D" w:rsidRPr="007738CD">
        <w:rPr>
          <w:rFonts w:ascii="Arial" w:hAnsi="Arial" w:cs="Arial"/>
        </w:rPr>
        <w:t xml:space="preserve">towards </w:t>
      </w:r>
      <w:r w:rsidR="008E0060" w:rsidRPr="007738CD">
        <w:rPr>
          <w:rFonts w:ascii="Arial" w:hAnsi="Arial" w:cs="Arial"/>
        </w:rPr>
        <w:t xml:space="preserve">potentially poor practice by audit firms and the </w:t>
      </w:r>
      <w:r w:rsidR="005D2DE5" w:rsidRPr="007738CD">
        <w:rPr>
          <w:rFonts w:ascii="Arial" w:hAnsi="Arial" w:cs="Arial"/>
        </w:rPr>
        <w:t xml:space="preserve">companies that appoint them. Issues around independence, tenure and </w:t>
      </w:r>
      <w:r w:rsidR="00CE180E" w:rsidRPr="007738CD">
        <w:rPr>
          <w:rFonts w:ascii="Arial" w:hAnsi="Arial" w:cs="Arial"/>
        </w:rPr>
        <w:t>the provision of non-audit-related services</w:t>
      </w:r>
      <w:r w:rsidR="000D21C0" w:rsidRPr="007738CD">
        <w:rPr>
          <w:rFonts w:ascii="Arial" w:hAnsi="Arial" w:cs="Arial"/>
        </w:rPr>
        <w:t xml:space="preserve"> are prevalent and Camden continues to </w:t>
      </w:r>
      <w:r w:rsidR="00EE28C7" w:rsidRPr="007738CD">
        <w:rPr>
          <w:rFonts w:ascii="Arial" w:hAnsi="Arial" w:cs="Arial"/>
        </w:rPr>
        <w:t>hold them to account where practice falls short.</w:t>
      </w:r>
    </w:p>
    <w:p w14:paraId="4FF1B28E" w14:textId="6A42A8F8" w:rsidR="00EE28C7" w:rsidRPr="007738CD" w:rsidRDefault="00EE28C7" w:rsidP="007738CD">
      <w:pPr>
        <w:spacing w:before="120" w:after="120" w:line="240" w:lineRule="auto"/>
        <w:rPr>
          <w:rFonts w:ascii="Arial" w:hAnsi="Arial" w:cs="Arial"/>
        </w:rPr>
      </w:pPr>
      <w:r w:rsidRPr="007738CD">
        <w:rPr>
          <w:rFonts w:ascii="Arial" w:hAnsi="Arial" w:cs="Arial"/>
        </w:rPr>
        <w:t xml:space="preserve">Other areas where the level of support remain low </w:t>
      </w:r>
      <w:r w:rsidR="00B75B51" w:rsidRPr="007738CD">
        <w:rPr>
          <w:rFonts w:ascii="Arial" w:hAnsi="Arial" w:cs="Arial"/>
        </w:rPr>
        <w:t>include</w:t>
      </w:r>
      <w:r w:rsidR="000825A3" w:rsidRPr="007738CD">
        <w:rPr>
          <w:rFonts w:ascii="Arial" w:hAnsi="Arial" w:cs="Arial"/>
        </w:rPr>
        <w:t xml:space="preserve"> votes on the annual report (including remuneration reports), </w:t>
      </w:r>
      <w:r w:rsidR="003D257F" w:rsidRPr="007738CD">
        <w:rPr>
          <w:rFonts w:ascii="Arial" w:hAnsi="Arial" w:cs="Arial"/>
        </w:rPr>
        <w:t xml:space="preserve">executive pay schemes and say on pay resolutions. </w:t>
      </w:r>
      <w:proofErr w:type="gramStart"/>
      <w:r w:rsidR="003D257F" w:rsidRPr="007738CD">
        <w:rPr>
          <w:rFonts w:ascii="Arial" w:hAnsi="Arial" w:cs="Arial"/>
        </w:rPr>
        <w:t>Executive</w:t>
      </w:r>
      <w:proofErr w:type="gramEnd"/>
      <w:r w:rsidR="003D257F" w:rsidRPr="007738CD">
        <w:rPr>
          <w:rFonts w:ascii="Arial" w:hAnsi="Arial" w:cs="Arial"/>
        </w:rPr>
        <w:t xml:space="preserve"> pay schemes and say on pay resolutions receive</w:t>
      </w:r>
      <w:r w:rsidR="00EE2C93" w:rsidRPr="007738CD">
        <w:rPr>
          <w:rFonts w:ascii="Arial" w:hAnsi="Arial" w:cs="Arial"/>
        </w:rPr>
        <w:t>d</w:t>
      </w:r>
      <w:r w:rsidR="003D257F" w:rsidRPr="007738CD">
        <w:rPr>
          <w:rFonts w:ascii="Arial" w:hAnsi="Arial" w:cs="Arial"/>
        </w:rPr>
        <w:t xml:space="preserve"> the lowest levels of support </w:t>
      </w:r>
      <w:r w:rsidR="00EE2C93" w:rsidRPr="007738CD">
        <w:rPr>
          <w:rFonts w:ascii="Arial" w:hAnsi="Arial" w:cs="Arial"/>
        </w:rPr>
        <w:t>by a big margin, with only 7.82% and 0.82% being supported respectively.</w:t>
      </w:r>
      <w:r w:rsidR="004341CD" w:rsidRPr="007738CD">
        <w:rPr>
          <w:rFonts w:ascii="Arial" w:hAnsi="Arial" w:cs="Arial"/>
        </w:rPr>
        <w:t xml:space="preserve"> As </w:t>
      </w:r>
      <w:r w:rsidR="00A30E41" w:rsidRPr="007738CD">
        <w:rPr>
          <w:rFonts w:ascii="Arial" w:hAnsi="Arial" w:cs="Arial"/>
        </w:rPr>
        <w:t>remuneration</w:t>
      </w:r>
      <w:r w:rsidR="004341CD" w:rsidRPr="007738CD">
        <w:rPr>
          <w:rFonts w:ascii="Arial" w:hAnsi="Arial" w:cs="Arial"/>
        </w:rPr>
        <w:t xml:space="preserve"> practices continue to remain poor, </w:t>
      </w:r>
      <w:r w:rsidR="00A30E41" w:rsidRPr="007738CD">
        <w:rPr>
          <w:rFonts w:ascii="Arial" w:hAnsi="Arial" w:cs="Arial"/>
        </w:rPr>
        <w:t>with pay for executives becoming more excessive</w:t>
      </w:r>
      <w:r w:rsidR="00C84D01" w:rsidRPr="007738CD">
        <w:rPr>
          <w:rFonts w:ascii="Arial" w:hAnsi="Arial" w:cs="Arial"/>
        </w:rPr>
        <w:t xml:space="preserve">, decreasing the link between pay and performance and increasing disparities </w:t>
      </w:r>
      <w:r w:rsidR="00EB2206" w:rsidRPr="007738CD">
        <w:rPr>
          <w:rFonts w:ascii="Arial" w:hAnsi="Arial" w:cs="Arial"/>
        </w:rPr>
        <w:t xml:space="preserve">between executives and the wider workforce, this </w:t>
      </w:r>
      <w:r w:rsidR="0070229A" w:rsidRPr="007738CD">
        <w:rPr>
          <w:rFonts w:ascii="Arial" w:hAnsi="Arial" w:cs="Arial"/>
        </w:rPr>
        <w:t xml:space="preserve">level of opposition </w:t>
      </w:r>
      <w:r w:rsidR="00EB2206" w:rsidRPr="007738CD">
        <w:rPr>
          <w:rFonts w:ascii="Arial" w:hAnsi="Arial" w:cs="Arial"/>
        </w:rPr>
        <w:t xml:space="preserve">looks set to continue. </w:t>
      </w:r>
    </w:p>
    <w:p w14:paraId="49F445B9" w14:textId="0D60BA82" w:rsidR="00F15CED" w:rsidRPr="007738CD" w:rsidRDefault="00F15CED" w:rsidP="007738CD">
      <w:pPr>
        <w:spacing w:before="120" w:after="120" w:line="240" w:lineRule="auto"/>
        <w:rPr>
          <w:rFonts w:ascii="Arial" w:hAnsi="Arial" w:cs="Arial"/>
          <w:i/>
          <w:iCs/>
          <w:u w:val="single"/>
        </w:rPr>
      </w:pPr>
      <w:r w:rsidRPr="007738CD">
        <w:rPr>
          <w:rFonts w:ascii="Arial" w:hAnsi="Arial" w:cs="Arial"/>
          <w:i/>
          <w:iCs/>
          <w:u w:val="single"/>
        </w:rPr>
        <w:t>Table 5 – Support recommendations by resolution type</w:t>
      </w:r>
    </w:p>
    <w:tbl>
      <w:tblPr>
        <w:tblW w:w="8062" w:type="dxa"/>
        <w:jc w:val="center"/>
        <w:tblLook w:val="04A0" w:firstRow="1" w:lastRow="0" w:firstColumn="1" w:lastColumn="0" w:noHBand="0" w:noVBand="1"/>
      </w:tblPr>
      <w:tblGrid>
        <w:gridCol w:w="6142"/>
        <w:gridCol w:w="963"/>
        <w:gridCol w:w="960"/>
      </w:tblGrid>
      <w:tr w:rsidR="007738CD" w:rsidRPr="007738CD" w14:paraId="066F71A0" w14:textId="77777777" w:rsidTr="006414C9">
        <w:trPr>
          <w:trHeight w:val="288"/>
          <w:jc w:val="center"/>
        </w:trPr>
        <w:tc>
          <w:tcPr>
            <w:tcW w:w="6142" w:type="dxa"/>
            <w:tcBorders>
              <w:top w:val="single" w:sz="4" w:space="0" w:color="auto"/>
              <w:left w:val="single" w:sz="4" w:space="0" w:color="auto"/>
              <w:bottom w:val="single" w:sz="4" w:space="0" w:color="auto"/>
              <w:right w:val="nil"/>
            </w:tcBorders>
            <w:shd w:val="clear" w:color="auto" w:fill="153D63" w:themeFill="text2" w:themeFillTint="E6"/>
            <w:noWrap/>
            <w:vAlign w:val="bottom"/>
            <w:hideMark/>
          </w:tcPr>
          <w:p w14:paraId="559BFFE0" w14:textId="77777777" w:rsidR="00203FB8" w:rsidRPr="007738CD" w:rsidRDefault="00203FB8"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Type</w:t>
            </w:r>
          </w:p>
        </w:tc>
        <w:tc>
          <w:tcPr>
            <w:tcW w:w="960"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hideMark/>
          </w:tcPr>
          <w:p w14:paraId="5CB4134F" w14:textId="77777777" w:rsidR="00203FB8" w:rsidRPr="007738CD" w:rsidRDefault="00203FB8"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2025</w:t>
            </w:r>
          </w:p>
        </w:tc>
        <w:tc>
          <w:tcPr>
            <w:tcW w:w="960" w:type="dxa"/>
            <w:tcBorders>
              <w:top w:val="single" w:sz="4" w:space="0" w:color="auto"/>
              <w:left w:val="nil"/>
              <w:bottom w:val="single" w:sz="4" w:space="0" w:color="auto"/>
              <w:right w:val="single" w:sz="4" w:space="0" w:color="auto"/>
            </w:tcBorders>
            <w:shd w:val="clear" w:color="auto" w:fill="153D63" w:themeFill="text2" w:themeFillTint="E6"/>
            <w:noWrap/>
            <w:vAlign w:val="bottom"/>
            <w:hideMark/>
          </w:tcPr>
          <w:p w14:paraId="03559CDD" w14:textId="77777777" w:rsidR="00203FB8" w:rsidRPr="007738CD" w:rsidRDefault="00203FB8"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2024</w:t>
            </w:r>
          </w:p>
        </w:tc>
      </w:tr>
      <w:tr w:rsidR="007738CD" w:rsidRPr="007738CD" w14:paraId="6D0E05FD" w14:textId="77777777" w:rsidTr="006414C9">
        <w:trPr>
          <w:trHeight w:val="288"/>
          <w:jc w:val="center"/>
        </w:trPr>
        <w:tc>
          <w:tcPr>
            <w:tcW w:w="6142"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C66C876"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All employee schemes</w:t>
            </w:r>
          </w:p>
        </w:tc>
        <w:tc>
          <w:tcPr>
            <w:tcW w:w="960" w:type="dxa"/>
            <w:tcBorders>
              <w:top w:val="nil"/>
              <w:left w:val="nil"/>
              <w:bottom w:val="single" w:sz="4" w:space="0" w:color="auto"/>
              <w:right w:val="single" w:sz="4" w:space="0" w:color="auto"/>
            </w:tcBorders>
            <w:shd w:val="clear" w:color="000000" w:fill="DAE9F8"/>
            <w:noWrap/>
            <w:vAlign w:val="bottom"/>
          </w:tcPr>
          <w:p w14:paraId="0E253FB2" w14:textId="1CBBCDBA"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53.59%</w:t>
            </w:r>
          </w:p>
        </w:tc>
        <w:tc>
          <w:tcPr>
            <w:tcW w:w="960" w:type="dxa"/>
            <w:tcBorders>
              <w:top w:val="nil"/>
              <w:left w:val="nil"/>
              <w:bottom w:val="single" w:sz="4" w:space="0" w:color="auto"/>
              <w:right w:val="single" w:sz="4" w:space="0" w:color="auto"/>
            </w:tcBorders>
            <w:shd w:val="clear" w:color="000000" w:fill="DAE9F8"/>
            <w:noWrap/>
            <w:vAlign w:val="bottom"/>
          </w:tcPr>
          <w:p w14:paraId="460947A3"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46.6%</w:t>
            </w:r>
          </w:p>
        </w:tc>
      </w:tr>
      <w:tr w:rsidR="007738CD" w:rsidRPr="007738CD" w14:paraId="2DF3A59C"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4E08A994"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Annual reports (remuneration reports included)</w:t>
            </w:r>
          </w:p>
        </w:tc>
        <w:tc>
          <w:tcPr>
            <w:tcW w:w="960" w:type="dxa"/>
            <w:tcBorders>
              <w:top w:val="nil"/>
              <w:left w:val="nil"/>
              <w:bottom w:val="single" w:sz="4" w:space="0" w:color="auto"/>
              <w:right w:val="single" w:sz="4" w:space="0" w:color="auto"/>
            </w:tcBorders>
            <w:noWrap/>
            <w:vAlign w:val="bottom"/>
          </w:tcPr>
          <w:p w14:paraId="3D5E778B" w14:textId="6BD01F9A"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43.26%</w:t>
            </w:r>
          </w:p>
        </w:tc>
        <w:tc>
          <w:tcPr>
            <w:tcW w:w="960" w:type="dxa"/>
            <w:tcBorders>
              <w:top w:val="nil"/>
              <w:left w:val="nil"/>
              <w:bottom w:val="single" w:sz="4" w:space="0" w:color="auto"/>
              <w:right w:val="single" w:sz="4" w:space="0" w:color="auto"/>
            </w:tcBorders>
            <w:noWrap/>
            <w:vAlign w:val="bottom"/>
          </w:tcPr>
          <w:p w14:paraId="6C1CF519"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40.1%</w:t>
            </w:r>
          </w:p>
        </w:tc>
      </w:tr>
      <w:tr w:rsidR="007738CD" w:rsidRPr="007738CD" w14:paraId="07F839E2"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7725304E"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Articles of association</w:t>
            </w:r>
          </w:p>
        </w:tc>
        <w:tc>
          <w:tcPr>
            <w:tcW w:w="960" w:type="dxa"/>
            <w:tcBorders>
              <w:top w:val="nil"/>
              <w:left w:val="nil"/>
              <w:bottom w:val="single" w:sz="4" w:space="0" w:color="auto"/>
              <w:right w:val="single" w:sz="4" w:space="0" w:color="auto"/>
            </w:tcBorders>
            <w:shd w:val="clear" w:color="000000" w:fill="DAE9F8"/>
            <w:noWrap/>
            <w:vAlign w:val="bottom"/>
          </w:tcPr>
          <w:p w14:paraId="68BB09FC" w14:textId="2A59384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75.32%</w:t>
            </w:r>
          </w:p>
        </w:tc>
        <w:tc>
          <w:tcPr>
            <w:tcW w:w="960" w:type="dxa"/>
            <w:tcBorders>
              <w:top w:val="nil"/>
              <w:left w:val="nil"/>
              <w:bottom w:val="single" w:sz="4" w:space="0" w:color="auto"/>
              <w:right w:val="single" w:sz="4" w:space="0" w:color="auto"/>
            </w:tcBorders>
            <w:shd w:val="clear" w:color="000000" w:fill="DAE9F8"/>
            <w:noWrap/>
            <w:vAlign w:val="bottom"/>
          </w:tcPr>
          <w:p w14:paraId="6A7AE6E1"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73.8%</w:t>
            </w:r>
          </w:p>
        </w:tc>
      </w:tr>
      <w:tr w:rsidR="007738CD" w:rsidRPr="007738CD" w14:paraId="29A1ED1F"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58D1350B"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Auditors</w:t>
            </w:r>
          </w:p>
        </w:tc>
        <w:tc>
          <w:tcPr>
            <w:tcW w:w="960" w:type="dxa"/>
            <w:tcBorders>
              <w:top w:val="nil"/>
              <w:left w:val="nil"/>
              <w:bottom w:val="single" w:sz="4" w:space="0" w:color="auto"/>
              <w:right w:val="single" w:sz="4" w:space="0" w:color="auto"/>
            </w:tcBorders>
            <w:noWrap/>
            <w:vAlign w:val="bottom"/>
          </w:tcPr>
          <w:p w14:paraId="6CECCBB3" w14:textId="3BD0D3D6"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50.24%</w:t>
            </w:r>
          </w:p>
        </w:tc>
        <w:tc>
          <w:tcPr>
            <w:tcW w:w="960" w:type="dxa"/>
            <w:tcBorders>
              <w:top w:val="nil"/>
              <w:left w:val="nil"/>
              <w:bottom w:val="single" w:sz="4" w:space="0" w:color="auto"/>
              <w:right w:val="single" w:sz="4" w:space="0" w:color="auto"/>
            </w:tcBorders>
            <w:noWrap/>
            <w:vAlign w:val="bottom"/>
          </w:tcPr>
          <w:p w14:paraId="534F70A9"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51.5%</w:t>
            </w:r>
          </w:p>
        </w:tc>
      </w:tr>
      <w:tr w:rsidR="007738CD" w:rsidRPr="007738CD" w14:paraId="202F6AE9"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44127D0D"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Corporate actions</w:t>
            </w:r>
          </w:p>
        </w:tc>
        <w:tc>
          <w:tcPr>
            <w:tcW w:w="960" w:type="dxa"/>
            <w:tcBorders>
              <w:top w:val="nil"/>
              <w:left w:val="nil"/>
              <w:bottom w:val="single" w:sz="4" w:space="0" w:color="auto"/>
              <w:right w:val="single" w:sz="4" w:space="0" w:color="auto"/>
            </w:tcBorders>
            <w:shd w:val="clear" w:color="000000" w:fill="DAE9F8"/>
            <w:noWrap/>
            <w:vAlign w:val="bottom"/>
          </w:tcPr>
          <w:p w14:paraId="14543DCF" w14:textId="555B7CA0"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80.58%</w:t>
            </w:r>
          </w:p>
        </w:tc>
        <w:tc>
          <w:tcPr>
            <w:tcW w:w="960" w:type="dxa"/>
            <w:tcBorders>
              <w:top w:val="nil"/>
              <w:left w:val="nil"/>
              <w:bottom w:val="single" w:sz="4" w:space="0" w:color="auto"/>
              <w:right w:val="single" w:sz="4" w:space="0" w:color="auto"/>
            </w:tcBorders>
            <w:shd w:val="clear" w:color="000000" w:fill="DAE9F8"/>
            <w:noWrap/>
            <w:vAlign w:val="bottom"/>
          </w:tcPr>
          <w:p w14:paraId="7ED3D8C1"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75.3%</w:t>
            </w:r>
          </w:p>
        </w:tc>
      </w:tr>
      <w:tr w:rsidR="007738CD" w:rsidRPr="007738CD" w14:paraId="0D982494"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56253DCA"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Corporate donations</w:t>
            </w:r>
          </w:p>
        </w:tc>
        <w:tc>
          <w:tcPr>
            <w:tcW w:w="960" w:type="dxa"/>
            <w:tcBorders>
              <w:top w:val="nil"/>
              <w:left w:val="nil"/>
              <w:bottom w:val="single" w:sz="4" w:space="0" w:color="auto"/>
              <w:right w:val="single" w:sz="4" w:space="0" w:color="auto"/>
            </w:tcBorders>
            <w:noWrap/>
            <w:vAlign w:val="bottom"/>
          </w:tcPr>
          <w:p w14:paraId="6DC063B8" w14:textId="31C8F5B2"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86.83%</w:t>
            </w:r>
          </w:p>
        </w:tc>
        <w:tc>
          <w:tcPr>
            <w:tcW w:w="960" w:type="dxa"/>
            <w:tcBorders>
              <w:top w:val="nil"/>
              <w:left w:val="nil"/>
              <w:bottom w:val="single" w:sz="4" w:space="0" w:color="auto"/>
              <w:right w:val="single" w:sz="4" w:space="0" w:color="auto"/>
            </w:tcBorders>
            <w:noWrap/>
            <w:vAlign w:val="bottom"/>
          </w:tcPr>
          <w:p w14:paraId="08BE74EC"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72.8%</w:t>
            </w:r>
          </w:p>
        </w:tc>
      </w:tr>
      <w:tr w:rsidR="007738CD" w:rsidRPr="007738CD" w14:paraId="0945B5DF"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20C00700"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Debt &amp; loans</w:t>
            </w:r>
          </w:p>
        </w:tc>
        <w:tc>
          <w:tcPr>
            <w:tcW w:w="960" w:type="dxa"/>
            <w:tcBorders>
              <w:top w:val="nil"/>
              <w:left w:val="nil"/>
              <w:bottom w:val="single" w:sz="4" w:space="0" w:color="auto"/>
              <w:right w:val="single" w:sz="4" w:space="0" w:color="auto"/>
            </w:tcBorders>
            <w:shd w:val="clear" w:color="000000" w:fill="DAE9F8"/>
            <w:noWrap/>
            <w:vAlign w:val="bottom"/>
          </w:tcPr>
          <w:p w14:paraId="01D95E8D" w14:textId="058672E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47.50%</w:t>
            </w:r>
          </w:p>
        </w:tc>
        <w:tc>
          <w:tcPr>
            <w:tcW w:w="960" w:type="dxa"/>
            <w:tcBorders>
              <w:top w:val="nil"/>
              <w:left w:val="nil"/>
              <w:bottom w:val="single" w:sz="4" w:space="0" w:color="auto"/>
              <w:right w:val="single" w:sz="4" w:space="0" w:color="auto"/>
            </w:tcBorders>
            <w:shd w:val="clear" w:color="000000" w:fill="DAE9F8"/>
            <w:noWrap/>
            <w:vAlign w:val="bottom"/>
          </w:tcPr>
          <w:p w14:paraId="0B0CE8A5"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33.3%</w:t>
            </w:r>
          </w:p>
        </w:tc>
      </w:tr>
      <w:tr w:rsidR="007738CD" w:rsidRPr="007738CD" w14:paraId="74FB8479"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525EF1C3"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Directors</w:t>
            </w:r>
          </w:p>
        </w:tc>
        <w:tc>
          <w:tcPr>
            <w:tcW w:w="960" w:type="dxa"/>
            <w:tcBorders>
              <w:top w:val="nil"/>
              <w:left w:val="nil"/>
              <w:bottom w:val="single" w:sz="4" w:space="0" w:color="auto"/>
              <w:right w:val="single" w:sz="4" w:space="0" w:color="auto"/>
            </w:tcBorders>
            <w:noWrap/>
            <w:vAlign w:val="bottom"/>
          </w:tcPr>
          <w:p w14:paraId="1F6D948C" w14:textId="11F2B51A"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59.75%</w:t>
            </w:r>
          </w:p>
        </w:tc>
        <w:tc>
          <w:tcPr>
            <w:tcW w:w="960" w:type="dxa"/>
            <w:tcBorders>
              <w:top w:val="nil"/>
              <w:left w:val="nil"/>
              <w:bottom w:val="single" w:sz="4" w:space="0" w:color="auto"/>
              <w:right w:val="single" w:sz="4" w:space="0" w:color="auto"/>
            </w:tcBorders>
            <w:noWrap/>
            <w:vAlign w:val="bottom"/>
          </w:tcPr>
          <w:p w14:paraId="49E86F1D"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65.0%</w:t>
            </w:r>
          </w:p>
        </w:tc>
      </w:tr>
      <w:tr w:rsidR="007738CD" w:rsidRPr="007738CD" w14:paraId="3D5B6D4C"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70160719"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Dividend</w:t>
            </w:r>
          </w:p>
        </w:tc>
        <w:tc>
          <w:tcPr>
            <w:tcW w:w="960" w:type="dxa"/>
            <w:tcBorders>
              <w:top w:val="nil"/>
              <w:left w:val="nil"/>
              <w:bottom w:val="single" w:sz="4" w:space="0" w:color="auto"/>
              <w:right w:val="single" w:sz="4" w:space="0" w:color="auto"/>
            </w:tcBorders>
            <w:shd w:val="clear" w:color="000000" w:fill="DAE9F8"/>
            <w:noWrap/>
            <w:vAlign w:val="bottom"/>
          </w:tcPr>
          <w:p w14:paraId="181B2EB7" w14:textId="271A6E3A"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97.72%</w:t>
            </w:r>
          </w:p>
        </w:tc>
        <w:tc>
          <w:tcPr>
            <w:tcW w:w="960" w:type="dxa"/>
            <w:tcBorders>
              <w:top w:val="nil"/>
              <w:left w:val="nil"/>
              <w:bottom w:val="single" w:sz="4" w:space="0" w:color="auto"/>
              <w:right w:val="single" w:sz="4" w:space="0" w:color="auto"/>
            </w:tcBorders>
            <w:shd w:val="clear" w:color="000000" w:fill="DAE9F8"/>
            <w:noWrap/>
            <w:vAlign w:val="bottom"/>
          </w:tcPr>
          <w:p w14:paraId="65DBD3DB"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97.5%</w:t>
            </w:r>
          </w:p>
        </w:tc>
      </w:tr>
      <w:tr w:rsidR="007738CD" w:rsidRPr="007738CD" w14:paraId="5157A371"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777CD64C" w14:textId="77777777" w:rsidR="00871D67" w:rsidRPr="007738CD" w:rsidRDefault="00871D67" w:rsidP="007738CD">
            <w:pPr>
              <w:spacing w:after="0" w:line="240" w:lineRule="auto"/>
              <w:rPr>
                <w:rFonts w:ascii="Arial" w:eastAsia="Times New Roman" w:hAnsi="Arial" w:cs="Arial"/>
                <w:kern w:val="0"/>
                <w:lang w:eastAsia="en-GB"/>
                <w14:ligatures w14:val="none"/>
              </w:rPr>
            </w:pPr>
            <w:proofErr w:type="gramStart"/>
            <w:r w:rsidRPr="007738CD">
              <w:rPr>
                <w:rFonts w:ascii="Arial" w:eastAsia="Times New Roman" w:hAnsi="Arial" w:cs="Arial"/>
                <w:kern w:val="0"/>
                <w:lang w:eastAsia="en-GB"/>
                <w14:ligatures w14:val="none"/>
              </w:rPr>
              <w:t>Executive</w:t>
            </w:r>
            <w:proofErr w:type="gramEnd"/>
            <w:r w:rsidRPr="007738CD">
              <w:rPr>
                <w:rFonts w:ascii="Arial" w:eastAsia="Times New Roman" w:hAnsi="Arial" w:cs="Arial"/>
                <w:kern w:val="0"/>
                <w:lang w:eastAsia="en-GB"/>
                <w14:ligatures w14:val="none"/>
              </w:rPr>
              <w:t xml:space="preserve"> pay scheme</w:t>
            </w:r>
          </w:p>
        </w:tc>
        <w:tc>
          <w:tcPr>
            <w:tcW w:w="960" w:type="dxa"/>
            <w:tcBorders>
              <w:top w:val="nil"/>
              <w:left w:val="nil"/>
              <w:bottom w:val="single" w:sz="4" w:space="0" w:color="auto"/>
              <w:right w:val="single" w:sz="4" w:space="0" w:color="auto"/>
            </w:tcBorders>
            <w:noWrap/>
            <w:vAlign w:val="bottom"/>
          </w:tcPr>
          <w:p w14:paraId="0B360BB6" w14:textId="3C03815C"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7.82%</w:t>
            </w:r>
          </w:p>
        </w:tc>
        <w:tc>
          <w:tcPr>
            <w:tcW w:w="960" w:type="dxa"/>
            <w:tcBorders>
              <w:top w:val="nil"/>
              <w:left w:val="nil"/>
              <w:bottom w:val="single" w:sz="4" w:space="0" w:color="auto"/>
              <w:right w:val="single" w:sz="4" w:space="0" w:color="auto"/>
            </w:tcBorders>
            <w:noWrap/>
            <w:vAlign w:val="bottom"/>
          </w:tcPr>
          <w:p w14:paraId="336C0063"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8.1%</w:t>
            </w:r>
          </w:p>
        </w:tc>
      </w:tr>
      <w:tr w:rsidR="007738CD" w:rsidRPr="007738CD" w14:paraId="3BBBE7FE"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2A25F8D9"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Miscellaneous</w:t>
            </w:r>
          </w:p>
        </w:tc>
        <w:tc>
          <w:tcPr>
            <w:tcW w:w="960" w:type="dxa"/>
            <w:tcBorders>
              <w:top w:val="nil"/>
              <w:left w:val="nil"/>
              <w:bottom w:val="single" w:sz="4" w:space="0" w:color="auto"/>
              <w:right w:val="single" w:sz="4" w:space="0" w:color="auto"/>
            </w:tcBorders>
            <w:shd w:val="clear" w:color="000000" w:fill="DAE9F8"/>
            <w:noWrap/>
            <w:vAlign w:val="bottom"/>
          </w:tcPr>
          <w:p w14:paraId="0DC86BA9" w14:textId="6D867B8A"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84.47%</w:t>
            </w:r>
          </w:p>
        </w:tc>
        <w:tc>
          <w:tcPr>
            <w:tcW w:w="960" w:type="dxa"/>
            <w:tcBorders>
              <w:top w:val="nil"/>
              <w:left w:val="nil"/>
              <w:bottom w:val="single" w:sz="4" w:space="0" w:color="auto"/>
              <w:right w:val="single" w:sz="4" w:space="0" w:color="auto"/>
            </w:tcBorders>
            <w:shd w:val="clear" w:color="000000" w:fill="DAE9F8"/>
            <w:noWrap/>
            <w:vAlign w:val="bottom"/>
          </w:tcPr>
          <w:p w14:paraId="5CD6E92A"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90.6%</w:t>
            </w:r>
          </w:p>
        </w:tc>
      </w:tr>
      <w:tr w:rsidR="007738CD" w:rsidRPr="007738CD" w14:paraId="6F440856"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32BFDF27"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NED fees</w:t>
            </w:r>
          </w:p>
        </w:tc>
        <w:tc>
          <w:tcPr>
            <w:tcW w:w="960" w:type="dxa"/>
            <w:tcBorders>
              <w:top w:val="nil"/>
              <w:left w:val="nil"/>
              <w:bottom w:val="single" w:sz="4" w:space="0" w:color="auto"/>
              <w:right w:val="single" w:sz="4" w:space="0" w:color="auto"/>
            </w:tcBorders>
            <w:noWrap/>
            <w:vAlign w:val="bottom"/>
          </w:tcPr>
          <w:p w14:paraId="05E0B9E2" w14:textId="5B3E4428"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74.35%</w:t>
            </w:r>
          </w:p>
        </w:tc>
        <w:tc>
          <w:tcPr>
            <w:tcW w:w="960" w:type="dxa"/>
            <w:tcBorders>
              <w:top w:val="nil"/>
              <w:left w:val="nil"/>
              <w:bottom w:val="single" w:sz="4" w:space="0" w:color="auto"/>
              <w:right w:val="single" w:sz="4" w:space="0" w:color="auto"/>
            </w:tcBorders>
            <w:noWrap/>
            <w:vAlign w:val="bottom"/>
          </w:tcPr>
          <w:p w14:paraId="1947B6FF"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74.3%</w:t>
            </w:r>
          </w:p>
        </w:tc>
      </w:tr>
      <w:tr w:rsidR="007738CD" w:rsidRPr="007738CD" w14:paraId="226B8960"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2000B1D2"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Say on pay</w:t>
            </w:r>
          </w:p>
        </w:tc>
        <w:tc>
          <w:tcPr>
            <w:tcW w:w="960" w:type="dxa"/>
            <w:tcBorders>
              <w:top w:val="nil"/>
              <w:left w:val="nil"/>
              <w:bottom w:val="single" w:sz="4" w:space="0" w:color="auto"/>
              <w:right w:val="single" w:sz="4" w:space="0" w:color="auto"/>
            </w:tcBorders>
            <w:noWrap/>
            <w:vAlign w:val="bottom"/>
          </w:tcPr>
          <w:p w14:paraId="55B29264" w14:textId="7EC9A970"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0.82%</w:t>
            </w:r>
          </w:p>
        </w:tc>
        <w:tc>
          <w:tcPr>
            <w:tcW w:w="960" w:type="dxa"/>
            <w:tcBorders>
              <w:top w:val="nil"/>
              <w:left w:val="nil"/>
              <w:bottom w:val="single" w:sz="4" w:space="0" w:color="auto"/>
              <w:right w:val="single" w:sz="4" w:space="0" w:color="auto"/>
            </w:tcBorders>
            <w:noWrap/>
            <w:vAlign w:val="bottom"/>
          </w:tcPr>
          <w:p w14:paraId="3EA6DCA5"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1.5%</w:t>
            </w:r>
          </w:p>
        </w:tc>
      </w:tr>
      <w:tr w:rsidR="007738CD" w:rsidRPr="007738CD" w14:paraId="67ECC835"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1281DCC7"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 capital restructuring</w:t>
            </w:r>
          </w:p>
        </w:tc>
        <w:tc>
          <w:tcPr>
            <w:tcW w:w="960" w:type="dxa"/>
            <w:tcBorders>
              <w:top w:val="nil"/>
              <w:left w:val="nil"/>
              <w:bottom w:val="single" w:sz="4" w:space="0" w:color="auto"/>
              <w:right w:val="single" w:sz="4" w:space="0" w:color="auto"/>
            </w:tcBorders>
            <w:shd w:val="clear" w:color="000000" w:fill="DAE9F8"/>
            <w:noWrap/>
            <w:vAlign w:val="bottom"/>
          </w:tcPr>
          <w:p w14:paraId="1AFF7AEA" w14:textId="19763802"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80.68%</w:t>
            </w:r>
          </w:p>
        </w:tc>
        <w:tc>
          <w:tcPr>
            <w:tcW w:w="960" w:type="dxa"/>
            <w:tcBorders>
              <w:top w:val="nil"/>
              <w:left w:val="nil"/>
              <w:bottom w:val="single" w:sz="4" w:space="0" w:color="auto"/>
              <w:right w:val="single" w:sz="4" w:space="0" w:color="auto"/>
            </w:tcBorders>
            <w:shd w:val="clear" w:color="000000" w:fill="DAE9F8"/>
            <w:noWrap/>
            <w:vAlign w:val="bottom"/>
          </w:tcPr>
          <w:p w14:paraId="561B1476"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77.9%</w:t>
            </w:r>
          </w:p>
        </w:tc>
      </w:tr>
      <w:tr w:rsidR="007738CD" w:rsidRPr="007738CD" w14:paraId="1A71DE55" w14:textId="77777777" w:rsidTr="006414C9">
        <w:trPr>
          <w:trHeight w:val="288"/>
          <w:jc w:val="center"/>
        </w:trPr>
        <w:tc>
          <w:tcPr>
            <w:tcW w:w="6142" w:type="dxa"/>
            <w:tcBorders>
              <w:top w:val="nil"/>
              <w:left w:val="single" w:sz="4" w:space="0" w:color="auto"/>
              <w:bottom w:val="single" w:sz="4" w:space="0" w:color="auto"/>
              <w:right w:val="single" w:sz="4" w:space="0" w:color="auto"/>
            </w:tcBorders>
            <w:noWrap/>
            <w:vAlign w:val="bottom"/>
            <w:hideMark/>
          </w:tcPr>
          <w:p w14:paraId="01C99530"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 issue/re-purchase</w:t>
            </w:r>
          </w:p>
        </w:tc>
        <w:tc>
          <w:tcPr>
            <w:tcW w:w="960" w:type="dxa"/>
            <w:tcBorders>
              <w:top w:val="nil"/>
              <w:left w:val="nil"/>
              <w:bottom w:val="single" w:sz="4" w:space="0" w:color="auto"/>
              <w:right w:val="single" w:sz="4" w:space="0" w:color="auto"/>
            </w:tcBorders>
            <w:noWrap/>
            <w:vAlign w:val="bottom"/>
          </w:tcPr>
          <w:p w14:paraId="2D6D168C" w14:textId="674F6430"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73.39%</w:t>
            </w:r>
          </w:p>
        </w:tc>
        <w:tc>
          <w:tcPr>
            <w:tcW w:w="960" w:type="dxa"/>
            <w:tcBorders>
              <w:top w:val="nil"/>
              <w:left w:val="nil"/>
              <w:bottom w:val="single" w:sz="4" w:space="0" w:color="auto"/>
              <w:right w:val="single" w:sz="4" w:space="0" w:color="auto"/>
            </w:tcBorders>
            <w:noWrap/>
            <w:vAlign w:val="bottom"/>
          </w:tcPr>
          <w:p w14:paraId="4D06D6F9"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43.0%</w:t>
            </w:r>
          </w:p>
        </w:tc>
      </w:tr>
      <w:tr w:rsidR="007738CD" w:rsidRPr="007738CD" w14:paraId="69B9A4AB" w14:textId="77777777" w:rsidTr="006414C9">
        <w:trPr>
          <w:trHeight w:val="288"/>
          <w:jc w:val="center"/>
        </w:trPr>
        <w:tc>
          <w:tcPr>
            <w:tcW w:w="6142" w:type="dxa"/>
            <w:tcBorders>
              <w:top w:val="nil"/>
              <w:left w:val="single" w:sz="4" w:space="0" w:color="auto"/>
              <w:bottom w:val="single" w:sz="4" w:space="0" w:color="auto"/>
              <w:right w:val="single" w:sz="4" w:space="0" w:color="auto"/>
            </w:tcBorders>
            <w:shd w:val="clear" w:color="000000" w:fill="DAE9F8"/>
            <w:noWrap/>
            <w:vAlign w:val="bottom"/>
            <w:hideMark/>
          </w:tcPr>
          <w:p w14:paraId="1D6B2E7C"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Shareholder resolution</w:t>
            </w:r>
          </w:p>
        </w:tc>
        <w:tc>
          <w:tcPr>
            <w:tcW w:w="960" w:type="dxa"/>
            <w:tcBorders>
              <w:top w:val="nil"/>
              <w:left w:val="nil"/>
              <w:bottom w:val="single" w:sz="4" w:space="0" w:color="auto"/>
              <w:right w:val="single" w:sz="4" w:space="0" w:color="auto"/>
            </w:tcBorders>
            <w:shd w:val="clear" w:color="000000" w:fill="DAE9F8"/>
            <w:noWrap/>
            <w:vAlign w:val="bottom"/>
          </w:tcPr>
          <w:p w14:paraId="33E30917" w14:textId="6BC37FDE"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Times New Roman" w:hAnsi="Arial" w:cs="Arial"/>
                <w:kern w:val="0"/>
                <w:lang w:eastAsia="en-GB"/>
                <w14:ligatures w14:val="none"/>
              </w:rPr>
              <w:t>74.13%</w:t>
            </w:r>
          </w:p>
        </w:tc>
        <w:tc>
          <w:tcPr>
            <w:tcW w:w="960" w:type="dxa"/>
            <w:tcBorders>
              <w:top w:val="nil"/>
              <w:left w:val="nil"/>
              <w:bottom w:val="single" w:sz="4" w:space="0" w:color="auto"/>
              <w:right w:val="single" w:sz="4" w:space="0" w:color="auto"/>
            </w:tcBorders>
            <w:shd w:val="clear" w:color="000000" w:fill="DAE9F8"/>
            <w:noWrap/>
            <w:vAlign w:val="bottom"/>
          </w:tcPr>
          <w:p w14:paraId="27E07A1E" w14:textId="77777777" w:rsidR="00871D67" w:rsidRPr="007738CD" w:rsidRDefault="00871D67" w:rsidP="007738CD">
            <w:pPr>
              <w:spacing w:after="0" w:line="240" w:lineRule="auto"/>
              <w:rPr>
                <w:rFonts w:ascii="Arial" w:eastAsia="Times New Roman" w:hAnsi="Arial" w:cs="Arial"/>
                <w:kern w:val="0"/>
                <w:lang w:eastAsia="en-GB"/>
                <w14:ligatures w14:val="none"/>
              </w:rPr>
            </w:pPr>
            <w:r w:rsidRPr="007738CD">
              <w:rPr>
                <w:rFonts w:ascii="Arial" w:eastAsia="Calibri" w:hAnsi="Arial" w:cs="Arial"/>
                <w:kern w:val="0"/>
                <w14:ligatures w14:val="none"/>
              </w:rPr>
              <w:t>84.5%</w:t>
            </w:r>
          </w:p>
        </w:tc>
      </w:tr>
      <w:tr w:rsidR="007738CD" w:rsidRPr="007738CD" w14:paraId="79D6991B" w14:textId="77777777" w:rsidTr="006414C9">
        <w:trPr>
          <w:trHeight w:val="288"/>
          <w:jc w:val="center"/>
        </w:trPr>
        <w:tc>
          <w:tcPr>
            <w:tcW w:w="6142"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tcPr>
          <w:p w14:paraId="11EF10CF" w14:textId="77777777" w:rsidR="00871D67" w:rsidRPr="007738CD" w:rsidRDefault="00871D67" w:rsidP="007738CD">
            <w:pPr>
              <w:spacing w:after="0" w:line="240" w:lineRule="auto"/>
              <w:rPr>
                <w:rFonts w:ascii="Arial" w:eastAsia="Times New Roman" w:hAnsi="Arial" w:cs="Arial"/>
                <w:b/>
                <w:bCs/>
                <w:kern w:val="0"/>
                <w:lang w:eastAsia="en-GB"/>
                <w14:ligatures w14:val="none"/>
              </w:rPr>
            </w:pPr>
            <w:r w:rsidRPr="007738CD">
              <w:rPr>
                <w:rFonts w:ascii="Arial" w:eastAsia="Times New Roman" w:hAnsi="Arial" w:cs="Arial"/>
                <w:b/>
                <w:bCs/>
                <w:kern w:val="0"/>
                <w:lang w:eastAsia="en-GB"/>
                <w14:ligatures w14:val="none"/>
              </w:rPr>
              <w:t>ALL</w:t>
            </w:r>
          </w:p>
        </w:tc>
        <w:tc>
          <w:tcPr>
            <w:tcW w:w="960" w:type="dxa"/>
            <w:tcBorders>
              <w:top w:val="single" w:sz="4" w:space="0" w:color="auto"/>
              <w:left w:val="nil"/>
              <w:bottom w:val="single" w:sz="4" w:space="0" w:color="auto"/>
              <w:right w:val="single" w:sz="4" w:space="0" w:color="auto"/>
            </w:tcBorders>
            <w:shd w:val="clear" w:color="auto" w:fill="153D63" w:themeFill="text2" w:themeFillTint="E6"/>
            <w:noWrap/>
            <w:vAlign w:val="bottom"/>
          </w:tcPr>
          <w:p w14:paraId="1B64A321" w14:textId="460D6035" w:rsidR="00871D67" w:rsidRPr="007738CD" w:rsidRDefault="00871D67" w:rsidP="007738CD">
            <w:pPr>
              <w:spacing w:after="0" w:line="240" w:lineRule="auto"/>
              <w:rPr>
                <w:rFonts w:ascii="Arial" w:eastAsia="Calibri" w:hAnsi="Arial" w:cs="Arial"/>
                <w:b/>
                <w:bCs/>
                <w:kern w:val="0"/>
                <w14:ligatures w14:val="none"/>
              </w:rPr>
            </w:pPr>
            <w:r w:rsidRPr="007738CD">
              <w:rPr>
                <w:rFonts w:ascii="Arial" w:eastAsia="Calibri" w:hAnsi="Arial" w:cs="Arial"/>
                <w:b/>
                <w:bCs/>
                <w:kern w:val="0"/>
                <w14:ligatures w14:val="none"/>
              </w:rPr>
              <w:t>58.35%</w:t>
            </w:r>
          </w:p>
        </w:tc>
        <w:tc>
          <w:tcPr>
            <w:tcW w:w="960" w:type="dxa"/>
            <w:tcBorders>
              <w:top w:val="single" w:sz="4" w:space="0" w:color="auto"/>
              <w:left w:val="nil"/>
              <w:bottom w:val="single" w:sz="4" w:space="0" w:color="auto"/>
              <w:right w:val="single" w:sz="4" w:space="0" w:color="auto"/>
            </w:tcBorders>
            <w:shd w:val="clear" w:color="auto" w:fill="153D63" w:themeFill="text2" w:themeFillTint="E6"/>
            <w:noWrap/>
            <w:vAlign w:val="center"/>
          </w:tcPr>
          <w:p w14:paraId="7ED2D8DD" w14:textId="77777777" w:rsidR="00871D67" w:rsidRPr="007738CD" w:rsidRDefault="00871D67" w:rsidP="007738CD">
            <w:pPr>
              <w:spacing w:after="0" w:line="240" w:lineRule="auto"/>
              <w:rPr>
                <w:rFonts w:ascii="Arial" w:eastAsia="Calibri" w:hAnsi="Arial" w:cs="Arial"/>
                <w:b/>
                <w:bCs/>
                <w:kern w:val="0"/>
                <w14:ligatures w14:val="none"/>
              </w:rPr>
            </w:pPr>
            <w:r w:rsidRPr="007738CD">
              <w:rPr>
                <w:rFonts w:ascii="Arial" w:eastAsia="Calibri" w:hAnsi="Arial" w:cs="Arial"/>
                <w:b/>
                <w:bCs/>
                <w:kern w:val="0"/>
                <w14:ligatures w14:val="none"/>
              </w:rPr>
              <w:t>58.5%</w:t>
            </w:r>
          </w:p>
        </w:tc>
      </w:tr>
    </w:tbl>
    <w:p w14:paraId="38BCA6B5" w14:textId="77777777" w:rsidR="00203FB8" w:rsidRPr="007738CD" w:rsidRDefault="00203FB8" w:rsidP="007738CD">
      <w:pPr>
        <w:spacing w:before="120" w:after="120" w:line="240" w:lineRule="auto"/>
        <w:rPr>
          <w:rFonts w:ascii="Arial" w:hAnsi="Arial" w:cs="Arial"/>
        </w:rPr>
      </w:pPr>
    </w:p>
    <w:p w14:paraId="38543802" w14:textId="77777777" w:rsidR="00203FB8" w:rsidRPr="007738CD" w:rsidRDefault="00203FB8" w:rsidP="007738CD">
      <w:pPr>
        <w:spacing w:before="120" w:after="120" w:line="240" w:lineRule="auto"/>
        <w:rPr>
          <w:rFonts w:ascii="Arial" w:hAnsi="Arial" w:cs="Arial"/>
          <w:b/>
          <w:bCs/>
        </w:rPr>
      </w:pPr>
      <w:r w:rsidRPr="007738CD">
        <w:rPr>
          <w:rFonts w:ascii="Arial" w:hAnsi="Arial" w:cs="Arial"/>
          <w:b/>
          <w:bCs/>
        </w:rPr>
        <w:t>Levels of support and opposition by region</w:t>
      </w:r>
    </w:p>
    <w:p w14:paraId="69C23C13" w14:textId="4519975D" w:rsidR="00EB2206" w:rsidRPr="007738CD" w:rsidRDefault="00BA406B" w:rsidP="007738CD">
      <w:pPr>
        <w:spacing w:before="120" w:after="120" w:line="240" w:lineRule="auto"/>
        <w:rPr>
          <w:rFonts w:ascii="Arial" w:hAnsi="Arial" w:cs="Arial"/>
        </w:rPr>
      </w:pPr>
      <w:r w:rsidRPr="007738CD">
        <w:rPr>
          <w:rFonts w:ascii="Arial" w:hAnsi="Arial" w:cs="Arial"/>
        </w:rPr>
        <w:t xml:space="preserve">Table 6 below demonstrates </w:t>
      </w:r>
      <w:r w:rsidR="00F71072" w:rsidRPr="007738CD">
        <w:rPr>
          <w:rFonts w:ascii="Arial" w:hAnsi="Arial" w:cs="Arial"/>
        </w:rPr>
        <w:t xml:space="preserve">fairly </w:t>
      </w:r>
      <w:r w:rsidR="00755A1F" w:rsidRPr="007738CD">
        <w:rPr>
          <w:rFonts w:ascii="Arial" w:hAnsi="Arial" w:cs="Arial"/>
        </w:rPr>
        <w:t>significant</w:t>
      </w:r>
      <w:r w:rsidR="00F71072" w:rsidRPr="007738CD">
        <w:rPr>
          <w:rFonts w:ascii="Arial" w:hAnsi="Arial" w:cs="Arial"/>
        </w:rPr>
        <w:t xml:space="preserve"> </w:t>
      </w:r>
      <w:r w:rsidR="00755A1F" w:rsidRPr="007738CD">
        <w:rPr>
          <w:rFonts w:ascii="Arial" w:hAnsi="Arial" w:cs="Arial"/>
        </w:rPr>
        <w:t>differences in</w:t>
      </w:r>
      <w:r w:rsidRPr="007738CD">
        <w:rPr>
          <w:rFonts w:ascii="Arial" w:hAnsi="Arial" w:cs="Arial"/>
        </w:rPr>
        <w:t xml:space="preserve"> levels of support ac</w:t>
      </w:r>
      <w:r w:rsidR="00F71072" w:rsidRPr="007738CD">
        <w:rPr>
          <w:rFonts w:ascii="Arial" w:hAnsi="Arial" w:cs="Arial"/>
        </w:rPr>
        <w:t>ross regions</w:t>
      </w:r>
      <w:r w:rsidR="00755A1F" w:rsidRPr="007738CD">
        <w:rPr>
          <w:rFonts w:ascii="Arial" w:hAnsi="Arial" w:cs="Arial"/>
        </w:rPr>
        <w:t xml:space="preserve">. </w:t>
      </w:r>
      <w:r w:rsidR="00AE76FF" w:rsidRPr="007738CD">
        <w:rPr>
          <w:rFonts w:ascii="Arial" w:hAnsi="Arial" w:cs="Arial"/>
        </w:rPr>
        <w:t xml:space="preserve">The UK has the highest levels of support, </w:t>
      </w:r>
      <w:r w:rsidR="008726E1" w:rsidRPr="007738CD">
        <w:rPr>
          <w:rFonts w:ascii="Arial" w:hAnsi="Arial" w:cs="Arial"/>
        </w:rPr>
        <w:t xml:space="preserve">followed by Asia and Europe. In the UK and Europe in particular, the higher levels of support are due to the </w:t>
      </w:r>
      <w:r w:rsidR="00A73EAC" w:rsidRPr="007738CD">
        <w:rPr>
          <w:rFonts w:ascii="Arial" w:hAnsi="Arial" w:cs="Arial"/>
        </w:rPr>
        <w:t xml:space="preserve">established regulatory regimes and generally higher standards of corporate governance. </w:t>
      </w:r>
    </w:p>
    <w:p w14:paraId="3063B149" w14:textId="685DDF15" w:rsidR="005165C5" w:rsidRPr="007738CD" w:rsidRDefault="00783738" w:rsidP="007738CD">
      <w:pPr>
        <w:spacing w:before="120" w:after="120" w:line="240" w:lineRule="auto"/>
        <w:rPr>
          <w:rFonts w:ascii="Arial" w:hAnsi="Arial" w:cs="Arial"/>
        </w:rPr>
      </w:pPr>
      <w:r w:rsidRPr="007738CD">
        <w:rPr>
          <w:rFonts w:ascii="Arial" w:hAnsi="Arial" w:cs="Arial"/>
        </w:rPr>
        <w:lastRenderedPageBreak/>
        <w:t xml:space="preserve">The rest of the world and South American regions </w:t>
      </w:r>
      <w:r w:rsidR="00AF1337" w:rsidRPr="007738CD">
        <w:rPr>
          <w:rFonts w:ascii="Arial" w:hAnsi="Arial" w:cs="Arial"/>
        </w:rPr>
        <w:t xml:space="preserve">perform poorly in terms </w:t>
      </w:r>
      <w:r w:rsidR="00943DBD" w:rsidRPr="007738CD">
        <w:rPr>
          <w:rFonts w:ascii="Arial" w:hAnsi="Arial" w:cs="Arial"/>
        </w:rPr>
        <w:t xml:space="preserve">of </w:t>
      </w:r>
      <w:r w:rsidR="00AF1337" w:rsidRPr="007738CD">
        <w:rPr>
          <w:rFonts w:ascii="Arial" w:hAnsi="Arial" w:cs="Arial"/>
        </w:rPr>
        <w:t xml:space="preserve">levels of support. This is typically due to the lack of established regulatory and reporting regimes in these markets. </w:t>
      </w:r>
      <w:r w:rsidR="004F2E90" w:rsidRPr="007738CD">
        <w:rPr>
          <w:rFonts w:ascii="Arial" w:hAnsi="Arial" w:cs="Arial"/>
        </w:rPr>
        <w:t xml:space="preserve">Corporate disclosures are </w:t>
      </w:r>
      <w:r w:rsidR="008B09B3" w:rsidRPr="007738CD">
        <w:rPr>
          <w:rFonts w:ascii="Arial" w:hAnsi="Arial" w:cs="Arial"/>
        </w:rPr>
        <w:t xml:space="preserve">often sparse and </w:t>
      </w:r>
      <w:r w:rsidR="00557963" w:rsidRPr="007738CD">
        <w:rPr>
          <w:rFonts w:ascii="Arial" w:hAnsi="Arial" w:cs="Arial"/>
        </w:rPr>
        <w:t xml:space="preserve">there are often strong concerns around governance and practice. </w:t>
      </w:r>
    </w:p>
    <w:p w14:paraId="64AE77C0" w14:textId="5C03EB85" w:rsidR="00557963" w:rsidRPr="007738CD" w:rsidRDefault="00557963" w:rsidP="007738CD">
      <w:pPr>
        <w:spacing w:before="120" w:after="120" w:line="240" w:lineRule="auto"/>
        <w:rPr>
          <w:rFonts w:ascii="Arial" w:hAnsi="Arial" w:cs="Arial"/>
        </w:rPr>
      </w:pPr>
      <w:r w:rsidRPr="007738CD">
        <w:rPr>
          <w:rFonts w:ascii="Arial" w:hAnsi="Arial" w:cs="Arial"/>
        </w:rPr>
        <w:t xml:space="preserve">The region with the least support </w:t>
      </w:r>
      <w:r w:rsidR="006A7847" w:rsidRPr="007738CD">
        <w:rPr>
          <w:rFonts w:ascii="Arial" w:hAnsi="Arial" w:cs="Arial"/>
        </w:rPr>
        <w:t xml:space="preserve">is the US &amp; Canada. </w:t>
      </w:r>
      <w:r w:rsidR="00ED3FF0" w:rsidRPr="007738CD">
        <w:rPr>
          <w:rFonts w:ascii="Arial" w:hAnsi="Arial" w:cs="Arial"/>
        </w:rPr>
        <w:t xml:space="preserve">Despite having highly sophisticated markets, with some of the world's largest companies listed in these jurisdictions, </w:t>
      </w:r>
      <w:r w:rsidR="00734FB7" w:rsidRPr="007738CD">
        <w:rPr>
          <w:rFonts w:ascii="Arial" w:hAnsi="Arial" w:cs="Arial"/>
        </w:rPr>
        <w:t xml:space="preserve">corporate governance standards and adherence to best practice principles remain low. In the </w:t>
      </w:r>
      <w:r w:rsidR="00572FD9" w:rsidRPr="007738CD">
        <w:rPr>
          <w:rFonts w:ascii="Arial" w:hAnsi="Arial" w:cs="Arial"/>
        </w:rPr>
        <w:t>US, there</w:t>
      </w:r>
      <w:r w:rsidR="00734FB7" w:rsidRPr="007738CD">
        <w:rPr>
          <w:rFonts w:ascii="Arial" w:hAnsi="Arial" w:cs="Arial"/>
        </w:rPr>
        <w:t xml:space="preserve"> are substantial concerns around executive pay, </w:t>
      </w:r>
      <w:r w:rsidR="00F507DB" w:rsidRPr="007738CD">
        <w:rPr>
          <w:rFonts w:ascii="Arial" w:hAnsi="Arial" w:cs="Arial"/>
        </w:rPr>
        <w:t xml:space="preserve">auditor tenure and </w:t>
      </w:r>
      <w:r w:rsidR="00572FD9" w:rsidRPr="007738CD">
        <w:rPr>
          <w:rFonts w:ascii="Arial" w:hAnsi="Arial" w:cs="Arial"/>
        </w:rPr>
        <w:t xml:space="preserve">board independence in particular. </w:t>
      </w:r>
    </w:p>
    <w:p w14:paraId="23D18DE5" w14:textId="787588D3" w:rsidR="00236715" w:rsidRPr="007738CD" w:rsidRDefault="00FB3A69" w:rsidP="007738CD">
      <w:pPr>
        <w:spacing w:before="120" w:after="120" w:line="240" w:lineRule="auto"/>
        <w:rPr>
          <w:rFonts w:ascii="Arial" w:hAnsi="Arial" w:cs="Arial"/>
        </w:rPr>
      </w:pPr>
      <w:r w:rsidRPr="007738CD">
        <w:rPr>
          <w:rFonts w:ascii="Arial" w:hAnsi="Arial" w:cs="Arial"/>
        </w:rPr>
        <w:t xml:space="preserve">It is also important to note that there is a </w:t>
      </w:r>
      <w:r w:rsidR="00D81370" w:rsidRPr="007738CD">
        <w:rPr>
          <w:rFonts w:ascii="Arial" w:hAnsi="Arial" w:cs="Arial"/>
        </w:rPr>
        <w:t>noteworthy ch</w:t>
      </w:r>
      <w:r w:rsidR="00D35A3F" w:rsidRPr="007738CD">
        <w:rPr>
          <w:rFonts w:ascii="Arial" w:hAnsi="Arial" w:cs="Arial"/>
        </w:rPr>
        <w:t xml:space="preserve">unk of </w:t>
      </w:r>
      <w:r w:rsidR="00F65C20" w:rsidRPr="007738CD">
        <w:rPr>
          <w:rFonts w:ascii="Arial" w:hAnsi="Arial" w:cs="Arial"/>
        </w:rPr>
        <w:t xml:space="preserve">withheld votes in the US. </w:t>
      </w:r>
      <w:r w:rsidR="00680618" w:rsidRPr="007738CD">
        <w:rPr>
          <w:rFonts w:ascii="Arial" w:hAnsi="Arial" w:cs="Arial"/>
        </w:rPr>
        <w:t xml:space="preserve">This often represents </w:t>
      </w:r>
      <w:r w:rsidR="00375AD4" w:rsidRPr="007738CD">
        <w:rPr>
          <w:rFonts w:ascii="Arial" w:hAnsi="Arial" w:cs="Arial"/>
        </w:rPr>
        <w:t>further dissatisfaction, with for example, director elections in unco</w:t>
      </w:r>
      <w:r w:rsidR="00F43A4C" w:rsidRPr="007738CD">
        <w:rPr>
          <w:rFonts w:ascii="Arial" w:hAnsi="Arial" w:cs="Arial"/>
        </w:rPr>
        <w:t xml:space="preserve">ntested elections. </w:t>
      </w:r>
    </w:p>
    <w:p w14:paraId="6C389356" w14:textId="5336A115" w:rsidR="00F15CED" w:rsidRPr="007738CD" w:rsidRDefault="00F15CED" w:rsidP="007738CD">
      <w:pPr>
        <w:spacing w:before="120" w:after="120" w:line="240" w:lineRule="auto"/>
        <w:rPr>
          <w:rFonts w:ascii="Arial" w:hAnsi="Arial" w:cs="Arial"/>
          <w:i/>
          <w:iCs/>
          <w:u w:val="single"/>
        </w:rPr>
      </w:pPr>
      <w:r w:rsidRPr="007738CD">
        <w:rPr>
          <w:rFonts w:ascii="Arial" w:hAnsi="Arial" w:cs="Arial"/>
          <w:i/>
          <w:iCs/>
          <w:u w:val="single"/>
        </w:rPr>
        <w:t xml:space="preserve">Table 6 – </w:t>
      </w:r>
      <w:r w:rsidR="00EB2206" w:rsidRPr="007738CD">
        <w:rPr>
          <w:rFonts w:ascii="Arial" w:hAnsi="Arial" w:cs="Arial"/>
          <w:i/>
          <w:iCs/>
          <w:u w:val="single"/>
        </w:rPr>
        <w:t>Support and opposition by region</w:t>
      </w: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7"/>
        <w:gridCol w:w="872"/>
        <w:gridCol w:w="885"/>
        <w:gridCol w:w="771"/>
        <w:gridCol w:w="999"/>
        <w:gridCol w:w="901"/>
        <w:gridCol w:w="1034"/>
        <w:gridCol w:w="981"/>
        <w:gridCol w:w="1055"/>
        <w:gridCol w:w="1079"/>
      </w:tblGrid>
      <w:tr w:rsidR="007738CD" w:rsidRPr="007738CD" w14:paraId="3269590B" w14:textId="77777777" w:rsidTr="007738CD">
        <w:trPr>
          <w:trHeight w:val="443"/>
          <w:jc w:val="center"/>
        </w:trPr>
        <w:tc>
          <w:tcPr>
            <w:tcW w:w="1271" w:type="dxa"/>
            <w:shd w:val="clear" w:color="auto" w:fill="153D63" w:themeFill="text2" w:themeFillTint="E6"/>
            <w:vAlign w:val="bottom"/>
            <w:hideMark/>
          </w:tcPr>
          <w:p w14:paraId="11F57ECB"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Region</w:t>
            </w:r>
          </w:p>
        </w:tc>
        <w:tc>
          <w:tcPr>
            <w:tcW w:w="777" w:type="dxa"/>
            <w:shd w:val="clear" w:color="auto" w:fill="153D63" w:themeFill="text2" w:themeFillTint="E6"/>
            <w:vAlign w:val="bottom"/>
            <w:hideMark/>
          </w:tcPr>
          <w:p w14:paraId="120DF1F6"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For</w:t>
            </w:r>
          </w:p>
        </w:tc>
        <w:tc>
          <w:tcPr>
            <w:tcW w:w="872" w:type="dxa"/>
            <w:shd w:val="clear" w:color="auto" w:fill="153D63" w:themeFill="text2" w:themeFillTint="E6"/>
            <w:vAlign w:val="bottom"/>
            <w:hideMark/>
          </w:tcPr>
          <w:p w14:paraId="3C083765"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Abstain</w:t>
            </w:r>
          </w:p>
        </w:tc>
        <w:tc>
          <w:tcPr>
            <w:tcW w:w="885" w:type="dxa"/>
            <w:shd w:val="clear" w:color="auto" w:fill="153D63" w:themeFill="text2" w:themeFillTint="E6"/>
            <w:vAlign w:val="bottom"/>
            <w:hideMark/>
          </w:tcPr>
          <w:p w14:paraId="2241ED0B"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Oppose</w:t>
            </w:r>
          </w:p>
        </w:tc>
        <w:tc>
          <w:tcPr>
            <w:tcW w:w="771" w:type="dxa"/>
            <w:shd w:val="clear" w:color="auto" w:fill="153D63" w:themeFill="text2" w:themeFillTint="E6"/>
            <w:vAlign w:val="bottom"/>
            <w:hideMark/>
          </w:tcPr>
          <w:p w14:paraId="562F802F"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Non-voting</w:t>
            </w:r>
          </w:p>
        </w:tc>
        <w:tc>
          <w:tcPr>
            <w:tcW w:w="999" w:type="dxa"/>
            <w:shd w:val="clear" w:color="auto" w:fill="153D63" w:themeFill="text2" w:themeFillTint="E6"/>
            <w:vAlign w:val="bottom"/>
            <w:hideMark/>
          </w:tcPr>
          <w:p w14:paraId="775565F6"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Not supported / clear</w:t>
            </w:r>
          </w:p>
        </w:tc>
        <w:tc>
          <w:tcPr>
            <w:tcW w:w="901" w:type="dxa"/>
            <w:shd w:val="clear" w:color="auto" w:fill="153D63" w:themeFill="text2" w:themeFillTint="E6"/>
            <w:vAlign w:val="bottom"/>
            <w:hideMark/>
          </w:tcPr>
          <w:p w14:paraId="223574DF"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Withhold</w:t>
            </w:r>
          </w:p>
        </w:tc>
        <w:tc>
          <w:tcPr>
            <w:tcW w:w="1034" w:type="dxa"/>
            <w:shd w:val="clear" w:color="auto" w:fill="153D63" w:themeFill="text2" w:themeFillTint="E6"/>
            <w:vAlign w:val="bottom"/>
            <w:hideMark/>
          </w:tcPr>
          <w:p w14:paraId="77D15511"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Withdrawn</w:t>
            </w:r>
          </w:p>
        </w:tc>
        <w:tc>
          <w:tcPr>
            <w:tcW w:w="981" w:type="dxa"/>
            <w:shd w:val="clear" w:color="auto" w:fill="153D63" w:themeFill="text2" w:themeFillTint="E6"/>
            <w:vAlign w:val="bottom"/>
            <w:hideMark/>
          </w:tcPr>
          <w:p w14:paraId="34B96703"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US frequency on pay</w:t>
            </w:r>
          </w:p>
        </w:tc>
        <w:tc>
          <w:tcPr>
            <w:tcW w:w="1055" w:type="dxa"/>
            <w:shd w:val="clear" w:color="auto" w:fill="153D63" w:themeFill="text2" w:themeFillTint="E6"/>
            <w:vAlign w:val="bottom"/>
            <w:hideMark/>
          </w:tcPr>
          <w:p w14:paraId="47B19F0D"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Total </w:t>
            </w:r>
          </w:p>
        </w:tc>
        <w:tc>
          <w:tcPr>
            <w:tcW w:w="1055" w:type="dxa"/>
            <w:shd w:val="clear" w:color="auto" w:fill="153D63" w:themeFill="text2" w:themeFillTint="E6"/>
            <w:vAlign w:val="bottom"/>
            <w:hideMark/>
          </w:tcPr>
          <w:p w14:paraId="042FA213" w14:textId="77777777" w:rsidR="00203FB8" w:rsidRPr="007738CD" w:rsidRDefault="00203FB8"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Percentage for</w:t>
            </w:r>
          </w:p>
        </w:tc>
      </w:tr>
      <w:tr w:rsidR="007738CD" w:rsidRPr="007738CD" w14:paraId="4237B8EA" w14:textId="77777777" w:rsidTr="007738CD">
        <w:trPr>
          <w:trHeight w:val="220"/>
          <w:jc w:val="center"/>
        </w:trPr>
        <w:tc>
          <w:tcPr>
            <w:tcW w:w="1271" w:type="dxa"/>
            <w:shd w:val="clear" w:color="000000" w:fill="DAE9F8"/>
            <w:noWrap/>
            <w:vAlign w:val="bottom"/>
            <w:hideMark/>
          </w:tcPr>
          <w:p w14:paraId="0E89BFEF"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UK</w:t>
            </w:r>
          </w:p>
        </w:tc>
        <w:tc>
          <w:tcPr>
            <w:tcW w:w="777" w:type="dxa"/>
            <w:shd w:val="clear" w:color="000000" w:fill="DAE9F8"/>
            <w:noWrap/>
            <w:vAlign w:val="center"/>
          </w:tcPr>
          <w:p w14:paraId="5594EB7F" w14:textId="2E20C76F"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7374</w:t>
            </w:r>
          </w:p>
        </w:tc>
        <w:tc>
          <w:tcPr>
            <w:tcW w:w="872" w:type="dxa"/>
            <w:shd w:val="clear" w:color="000000" w:fill="DAE9F8"/>
            <w:noWrap/>
            <w:vAlign w:val="center"/>
          </w:tcPr>
          <w:p w14:paraId="4D1B3F67" w14:textId="3A8FBC2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885" w:type="dxa"/>
            <w:shd w:val="clear" w:color="000000" w:fill="DAE9F8"/>
            <w:noWrap/>
            <w:vAlign w:val="center"/>
          </w:tcPr>
          <w:p w14:paraId="295C2B36" w14:textId="3731DAF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2952</w:t>
            </w:r>
          </w:p>
        </w:tc>
        <w:tc>
          <w:tcPr>
            <w:tcW w:w="771" w:type="dxa"/>
            <w:shd w:val="clear" w:color="000000" w:fill="DAE9F8"/>
            <w:noWrap/>
            <w:vAlign w:val="center"/>
          </w:tcPr>
          <w:p w14:paraId="4FF27375" w14:textId="0EA920E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w:t>
            </w:r>
          </w:p>
        </w:tc>
        <w:tc>
          <w:tcPr>
            <w:tcW w:w="999" w:type="dxa"/>
            <w:shd w:val="clear" w:color="000000" w:fill="DAE9F8"/>
            <w:noWrap/>
            <w:vAlign w:val="center"/>
          </w:tcPr>
          <w:p w14:paraId="23443C3A" w14:textId="0960E19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01" w:type="dxa"/>
            <w:shd w:val="clear" w:color="000000" w:fill="DAE9F8"/>
            <w:noWrap/>
            <w:vAlign w:val="center"/>
          </w:tcPr>
          <w:p w14:paraId="0BC7460E" w14:textId="64BC22B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8</w:t>
            </w:r>
          </w:p>
        </w:tc>
        <w:tc>
          <w:tcPr>
            <w:tcW w:w="1034" w:type="dxa"/>
            <w:shd w:val="clear" w:color="000000" w:fill="DAE9F8"/>
            <w:noWrap/>
            <w:vAlign w:val="center"/>
          </w:tcPr>
          <w:p w14:paraId="76D73769" w14:textId="208DC3A5"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10</w:t>
            </w:r>
          </w:p>
        </w:tc>
        <w:tc>
          <w:tcPr>
            <w:tcW w:w="981" w:type="dxa"/>
            <w:shd w:val="clear" w:color="000000" w:fill="DAE9F8"/>
            <w:noWrap/>
            <w:vAlign w:val="center"/>
          </w:tcPr>
          <w:p w14:paraId="3975BD6B" w14:textId="799744A4"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55" w:type="dxa"/>
            <w:shd w:val="clear" w:color="000000" w:fill="DAE9F8"/>
            <w:noWrap/>
            <w:vAlign w:val="center"/>
          </w:tcPr>
          <w:p w14:paraId="74F07887" w14:textId="3B312E28"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10345</w:t>
            </w:r>
          </w:p>
        </w:tc>
        <w:tc>
          <w:tcPr>
            <w:tcW w:w="1055" w:type="dxa"/>
            <w:shd w:val="clear" w:color="000000" w:fill="DAE9F8"/>
            <w:noWrap/>
            <w:vAlign w:val="center"/>
          </w:tcPr>
          <w:p w14:paraId="484CB7E5" w14:textId="5CD1162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71.</w:t>
            </w:r>
            <w:r w:rsidR="00831D33" w:rsidRPr="007738CD">
              <w:rPr>
                <w:rFonts w:ascii="Arial" w:eastAsia="Times New Roman" w:hAnsi="Arial" w:cs="Arial"/>
                <w:kern w:val="0"/>
                <w:sz w:val="16"/>
                <w:szCs w:val="16"/>
                <w:lang w:eastAsia="en-GB"/>
                <w14:ligatures w14:val="none"/>
              </w:rPr>
              <w:t>3</w:t>
            </w:r>
            <w:r w:rsidRPr="007738CD">
              <w:rPr>
                <w:rFonts w:ascii="Arial" w:eastAsia="Times New Roman" w:hAnsi="Arial" w:cs="Arial"/>
                <w:kern w:val="0"/>
                <w:sz w:val="16"/>
                <w:szCs w:val="16"/>
                <w:lang w:eastAsia="en-GB"/>
                <w14:ligatures w14:val="none"/>
              </w:rPr>
              <w:t>%</w:t>
            </w:r>
          </w:p>
        </w:tc>
      </w:tr>
      <w:tr w:rsidR="007738CD" w:rsidRPr="007738CD" w14:paraId="4C00F9E6" w14:textId="77777777" w:rsidTr="007738CD">
        <w:trPr>
          <w:trHeight w:val="220"/>
          <w:jc w:val="center"/>
        </w:trPr>
        <w:tc>
          <w:tcPr>
            <w:tcW w:w="1271" w:type="dxa"/>
            <w:noWrap/>
            <w:vAlign w:val="bottom"/>
            <w:hideMark/>
          </w:tcPr>
          <w:p w14:paraId="6EBDB1FC"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EUROPE</w:t>
            </w:r>
          </w:p>
        </w:tc>
        <w:tc>
          <w:tcPr>
            <w:tcW w:w="777" w:type="dxa"/>
            <w:noWrap/>
            <w:vAlign w:val="center"/>
          </w:tcPr>
          <w:p w14:paraId="7E620D99" w14:textId="55ADFA2B"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3199</w:t>
            </w:r>
          </w:p>
        </w:tc>
        <w:tc>
          <w:tcPr>
            <w:tcW w:w="872" w:type="dxa"/>
            <w:noWrap/>
            <w:vAlign w:val="center"/>
          </w:tcPr>
          <w:p w14:paraId="12B0ACEE" w14:textId="0E63270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6</w:t>
            </w:r>
          </w:p>
        </w:tc>
        <w:tc>
          <w:tcPr>
            <w:tcW w:w="885" w:type="dxa"/>
            <w:noWrap/>
            <w:vAlign w:val="center"/>
          </w:tcPr>
          <w:p w14:paraId="1EE6F42A" w14:textId="0CDDF8F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1695</w:t>
            </w:r>
          </w:p>
        </w:tc>
        <w:tc>
          <w:tcPr>
            <w:tcW w:w="771" w:type="dxa"/>
            <w:noWrap/>
            <w:vAlign w:val="center"/>
          </w:tcPr>
          <w:p w14:paraId="1D31B099" w14:textId="3AA5BE87"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368</w:t>
            </w:r>
          </w:p>
        </w:tc>
        <w:tc>
          <w:tcPr>
            <w:tcW w:w="999" w:type="dxa"/>
            <w:noWrap/>
            <w:vAlign w:val="center"/>
          </w:tcPr>
          <w:p w14:paraId="1650A00C" w14:textId="038B18D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w:t>
            </w:r>
          </w:p>
        </w:tc>
        <w:tc>
          <w:tcPr>
            <w:tcW w:w="901" w:type="dxa"/>
            <w:noWrap/>
            <w:vAlign w:val="center"/>
          </w:tcPr>
          <w:p w14:paraId="2E18A442" w14:textId="0A458545"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34" w:type="dxa"/>
            <w:noWrap/>
            <w:vAlign w:val="center"/>
          </w:tcPr>
          <w:p w14:paraId="02623ECA" w14:textId="2816574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81" w:type="dxa"/>
            <w:noWrap/>
            <w:vAlign w:val="center"/>
          </w:tcPr>
          <w:p w14:paraId="0E0F7173" w14:textId="7C1EDC89"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2</w:t>
            </w:r>
          </w:p>
        </w:tc>
        <w:tc>
          <w:tcPr>
            <w:tcW w:w="1055" w:type="dxa"/>
            <w:noWrap/>
            <w:vAlign w:val="center"/>
          </w:tcPr>
          <w:p w14:paraId="018006C0" w14:textId="46FF783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5273</w:t>
            </w:r>
          </w:p>
        </w:tc>
        <w:tc>
          <w:tcPr>
            <w:tcW w:w="1055" w:type="dxa"/>
            <w:shd w:val="clear" w:color="000000" w:fill="FFFFFF"/>
            <w:noWrap/>
            <w:vAlign w:val="center"/>
          </w:tcPr>
          <w:p w14:paraId="278FA02F" w14:textId="73677E1A"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60.</w:t>
            </w:r>
            <w:r w:rsidR="00831D33" w:rsidRPr="007738CD">
              <w:rPr>
                <w:rFonts w:ascii="Arial" w:eastAsia="Times New Roman" w:hAnsi="Arial" w:cs="Arial"/>
                <w:kern w:val="0"/>
                <w:sz w:val="16"/>
                <w:szCs w:val="16"/>
                <w:lang w:eastAsia="en-GB"/>
                <w14:ligatures w14:val="none"/>
              </w:rPr>
              <w:t>7</w:t>
            </w:r>
            <w:r w:rsidRPr="007738CD">
              <w:rPr>
                <w:rFonts w:ascii="Arial" w:eastAsia="Times New Roman" w:hAnsi="Arial" w:cs="Arial"/>
                <w:kern w:val="0"/>
                <w:sz w:val="16"/>
                <w:szCs w:val="16"/>
                <w:lang w:eastAsia="en-GB"/>
                <w14:ligatures w14:val="none"/>
              </w:rPr>
              <w:t>%</w:t>
            </w:r>
          </w:p>
        </w:tc>
      </w:tr>
      <w:tr w:rsidR="007738CD" w:rsidRPr="007738CD" w14:paraId="0608F7B1" w14:textId="77777777" w:rsidTr="007738CD">
        <w:trPr>
          <w:trHeight w:val="220"/>
          <w:jc w:val="center"/>
        </w:trPr>
        <w:tc>
          <w:tcPr>
            <w:tcW w:w="1271" w:type="dxa"/>
            <w:shd w:val="clear" w:color="000000" w:fill="DAE9F8"/>
            <w:noWrap/>
            <w:vAlign w:val="bottom"/>
            <w:hideMark/>
          </w:tcPr>
          <w:p w14:paraId="5C7FD531"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USA &amp; CANADA</w:t>
            </w:r>
          </w:p>
        </w:tc>
        <w:tc>
          <w:tcPr>
            <w:tcW w:w="777" w:type="dxa"/>
            <w:shd w:val="clear" w:color="000000" w:fill="DAE9F8"/>
            <w:noWrap/>
            <w:vAlign w:val="center"/>
          </w:tcPr>
          <w:p w14:paraId="2F2298DC" w14:textId="1E7A042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3318</w:t>
            </w:r>
          </w:p>
        </w:tc>
        <w:tc>
          <w:tcPr>
            <w:tcW w:w="872" w:type="dxa"/>
            <w:shd w:val="clear" w:color="000000" w:fill="DAE9F8"/>
            <w:noWrap/>
            <w:vAlign w:val="center"/>
          </w:tcPr>
          <w:p w14:paraId="5D4F0484" w14:textId="49FDE305"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7</w:t>
            </w:r>
          </w:p>
        </w:tc>
        <w:tc>
          <w:tcPr>
            <w:tcW w:w="885" w:type="dxa"/>
            <w:shd w:val="clear" w:color="000000" w:fill="DAE9F8"/>
            <w:noWrap/>
            <w:vAlign w:val="center"/>
          </w:tcPr>
          <w:p w14:paraId="3B6D1891" w14:textId="2BFB2004"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3794</w:t>
            </w:r>
          </w:p>
        </w:tc>
        <w:tc>
          <w:tcPr>
            <w:tcW w:w="771" w:type="dxa"/>
            <w:shd w:val="clear" w:color="000000" w:fill="DAE9F8"/>
            <w:noWrap/>
            <w:vAlign w:val="center"/>
          </w:tcPr>
          <w:p w14:paraId="635439A2" w14:textId="5C08143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5</w:t>
            </w:r>
          </w:p>
        </w:tc>
        <w:tc>
          <w:tcPr>
            <w:tcW w:w="999" w:type="dxa"/>
            <w:shd w:val="clear" w:color="000000" w:fill="DAE9F8"/>
            <w:noWrap/>
            <w:vAlign w:val="center"/>
          </w:tcPr>
          <w:p w14:paraId="3133D637" w14:textId="3CFB745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w:t>
            </w:r>
          </w:p>
        </w:tc>
        <w:tc>
          <w:tcPr>
            <w:tcW w:w="901" w:type="dxa"/>
            <w:shd w:val="clear" w:color="000000" w:fill="DAE9F8"/>
            <w:noWrap/>
            <w:vAlign w:val="center"/>
          </w:tcPr>
          <w:p w14:paraId="2CADD812" w14:textId="15AC0874"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440</w:t>
            </w:r>
          </w:p>
        </w:tc>
        <w:tc>
          <w:tcPr>
            <w:tcW w:w="1034" w:type="dxa"/>
            <w:shd w:val="clear" w:color="000000" w:fill="DAE9F8"/>
            <w:noWrap/>
            <w:vAlign w:val="center"/>
          </w:tcPr>
          <w:p w14:paraId="2446E715" w14:textId="03CCF68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w:t>
            </w:r>
          </w:p>
        </w:tc>
        <w:tc>
          <w:tcPr>
            <w:tcW w:w="981" w:type="dxa"/>
            <w:shd w:val="clear" w:color="000000" w:fill="DAE9F8"/>
            <w:noWrap/>
            <w:vAlign w:val="center"/>
          </w:tcPr>
          <w:p w14:paraId="4F1BE17A" w14:textId="6919545B"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15</w:t>
            </w:r>
          </w:p>
        </w:tc>
        <w:tc>
          <w:tcPr>
            <w:tcW w:w="1055" w:type="dxa"/>
            <w:shd w:val="clear" w:color="000000" w:fill="DAE9F8"/>
            <w:noWrap/>
            <w:vAlign w:val="center"/>
          </w:tcPr>
          <w:p w14:paraId="7BA5DEC8" w14:textId="0BC60852"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7583</w:t>
            </w:r>
          </w:p>
        </w:tc>
        <w:tc>
          <w:tcPr>
            <w:tcW w:w="1055" w:type="dxa"/>
            <w:shd w:val="clear" w:color="000000" w:fill="DAE9F8"/>
            <w:noWrap/>
            <w:vAlign w:val="center"/>
          </w:tcPr>
          <w:p w14:paraId="25609A37" w14:textId="4E7FFA6F"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43.</w:t>
            </w:r>
            <w:r w:rsidR="00831D33" w:rsidRPr="007738CD">
              <w:rPr>
                <w:rFonts w:ascii="Arial" w:eastAsia="Times New Roman" w:hAnsi="Arial" w:cs="Arial"/>
                <w:kern w:val="0"/>
                <w:sz w:val="16"/>
                <w:szCs w:val="16"/>
                <w:lang w:eastAsia="en-GB"/>
                <w14:ligatures w14:val="none"/>
              </w:rPr>
              <w:t>8</w:t>
            </w:r>
            <w:r w:rsidRPr="007738CD">
              <w:rPr>
                <w:rFonts w:ascii="Arial" w:eastAsia="Times New Roman" w:hAnsi="Arial" w:cs="Arial"/>
                <w:kern w:val="0"/>
                <w:sz w:val="16"/>
                <w:szCs w:val="16"/>
                <w:lang w:eastAsia="en-GB"/>
                <w14:ligatures w14:val="none"/>
              </w:rPr>
              <w:t>%</w:t>
            </w:r>
          </w:p>
        </w:tc>
      </w:tr>
      <w:tr w:rsidR="007738CD" w:rsidRPr="007738CD" w14:paraId="1DE1F21C" w14:textId="77777777" w:rsidTr="007738CD">
        <w:trPr>
          <w:trHeight w:val="220"/>
          <w:jc w:val="center"/>
        </w:trPr>
        <w:tc>
          <w:tcPr>
            <w:tcW w:w="1271" w:type="dxa"/>
            <w:noWrap/>
            <w:vAlign w:val="bottom"/>
            <w:hideMark/>
          </w:tcPr>
          <w:p w14:paraId="2112EE43"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ASIA</w:t>
            </w:r>
          </w:p>
        </w:tc>
        <w:tc>
          <w:tcPr>
            <w:tcW w:w="777" w:type="dxa"/>
            <w:noWrap/>
            <w:vAlign w:val="center"/>
          </w:tcPr>
          <w:p w14:paraId="6E4B3337" w14:textId="11CA02A3"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18</w:t>
            </w:r>
          </w:p>
        </w:tc>
        <w:tc>
          <w:tcPr>
            <w:tcW w:w="872" w:type="dxa"/>
            <w:noWrap/>
            <w:vAlign w:val="center"/>
          </w:tcPr>
          <w:p w14:paraId="55F8ABA2" w14:textId="0DD3F42B"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885" w:type="dxa"/>
            <w:noWrap/>
            <w:vAlign w:val="center"/>
          </w:tcPr>
          <w:p w14:paraId="3FDD39FF" w14:textId="174ADE0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11</w:t>
            </w:r>
          </w:p>
        </w:tc>
        <w:tc>
          <w:tcPr>
            <w:tcW w:w="771" w:type="dxa"/>
            <w:noWrap/>
            <w:vAlign w:val="center"/>
          </w:tcPr>
          <w:p w14:paraId="2506C4CE" w14:textId="2E3391AC"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99" w:type="dxa"/>
            <w:noWrap/>
            <w:vAlign w:val="center"/>
          </w:tcPr>
          <w:p w14:paraId="0FB8CC29" w14:textId="0B684E00"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01" w:type="dxa"/>
            <w:noWrap/>
            <w:vAlign w:val="center"/>
          </w:tcPr>
          <w:p w14:paraId="3F7CF2A6" w14:textId="3B8519A9"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34" w:type="dxa"/>
            <w:noWrap/>
            <w:vAlign w:val="center"/>
          </w:tcPr>
          <w:p w14:paraId="37759529" w14:textId="7C36430E"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81" w:type="dxa"/>
            <w:noWrap/>
            <w:vAlign w:val="center"/>
          </w:tcPr>
          <w:p w14:paraId="34E80AFB" w14:textId="48B7680C"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55" w:type="dxa"/>
            <w:noWrap/>
            <w:vAlign w:val="center"/>
          </w:tcPr>
          <w:p w14:paraId="44FA04CB" w14:textId="3F1F66DB"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29</w:t>
            </w:r>
          </w:p>
        </w:tc>
        <w:tc>
          <w:tcPr>
            <w:tcW w:w="1055" w:type="dxa"/>
            <w:shd w:val="clear" w:color="000000" w:fill="FFFFFF"/>
            <w:noWrap/>
            <w:vAlign w:val="center"/>
          </w:tcPr>
          <w:p w14:paraId="4696AFC5" w14:textId="05458A2F"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62.</w:t>
            </w:r>
            <w:r w:rsidR="00831D33" w:rsidRPr="007738CD">
              <w:rPr>
                <w:rFonts w:ascii="Arial" w:eastAsia="Times New Roman" w:hAnsi="Arial" w:cs="Arial"/>
                <w:kern w:val="0"/>
                <w:sz w:val="16"/>
                <w:szCs w:val="16"/>
                <w:lang w:eastAsia="en-GB"/>
                <w14:ligatures w14:val="none"/>
              </w:rPr>
              <w:t>1</w:t>
            </w:r>
            <w:r w:rsidRPr="007738CD">
              <w:rPr>
                <w:rFonts w:ascii="Arial" w:eastAsia="Times New Roman" w:hAnsi="Arial" w:cs="Arial"/>
                <w:kern w:val="0"/>
                <w:sz w:val="16"/>
                <w:szCs w:val="16"/>
                <w:lang w:eastAsia="en-GB"/>
                <w14:ligatures w14:val="none"/>
              </w:rPr>
              <w:t>%</w:t>
            </w:r>
          </w:p>
        </w:tc>
      </w:tr>
      <w:tr w:rsidR="007738CD" w:rsidRPr="007738CD" w14:paraId="29FEA8FB" w14:textId="77777777" w:rsidTr="007738CD">
        <w:trPr>
          <w:trHeight w:val="220"/>
          <w:jc w:val="center"/>
        </w:trPr>
        <w:tc>
          <w:tcPr>
            <w:tcW w:w="1271" w:type="dxa"/>
            <w:noWrap/>
            <w:vAlign w:val="bottom"/>
            <w:hideMark/>
          </w:tcPr>
          <w:p w14:paraId="370D8AE8"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SOUTH AMERICA</w:t>
            </w:r>
          </w:p>
        </w:tc>
        <w:tc>
          <w:tcPr>
            <w:tcW w:w="777" w:type="dxa"/>
            <w:noWrap/>
            <w:vAlign w:val="center"/>
          </w:tcPr>
          <w:p w14:paraId="1D96BA47" w14:textId="045BD807"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329</w:t>
            </w:r>
          </w:p>
        </w:tc>
        <w:tc>
          <w:tcPr>
            <w:tcW w:w="872" w:type="dxa"/>
            <w:noWrap/>
            <w:vAlign w:val="center"/>
          </w:tcPr>
          <w:p w14:paraId="3A750106" w14:textId="527B285C"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885" w:type="dxa"/>
            <w:noWrap/>
            <w:vAlign w:val="center"/>
          </w:tcPr>
          <w:p w14:paraId="35B504BE" w14:textId="59C82484"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387</w:t>
            </w:r>
          </w:p>
        </w:tc>
        <w:tc>
          <w:tcPr>
            <w:tcW w:w="771" w:type="dxa"/>
            <w:noWrap/>
            <w:vAlign w:val="center"/>
          </w:tcPr>
          <w:p w14:paraId="7C83C463" w14:textId="6E2DC6A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99" w:type="dxa"/>
            <w:noWrap/>
            <w:vAlign w:val="center"/>
          </w:tcPr>
          <w:p w14:paraId="66120239" w14:textId="6D2AC15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01" w:type="dxa"/>
            <w:noWrap/>
            <w:vAlign w:val="center"/>
          </w:tcPr>
          <w:p w14:paraId="5BEC3313" w14:textId="1C4739B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34" w:type="dxa"/>
            <w:noWrap/>
            <w:vAlign w:val="center"/>
          </w:tcPr>
          <w:p w14:paraId="0F704F19" w14:textId="737EBE2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81" w:type="dxa"/>
            <w:noWrap/>
            <w:vAlign w:val="center"/>
          </w:tcPr>
          <w:p w14:paraId="62973AD6" w14:textId="6050FA3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55" w:type="dxa"/>
            <w:noWrap/>
            <w:vAlign w:val="center"/>
          </w:tcPr>
          <w:p w14:paraId="5EB90BE4" w14:textId="1D9BDE22"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716</w:t>
            </w:r>
          </w:p>
        </w:tc>
        <w:tc>
          <w:tcPr>
            <w:tcW w:w="1055" w:type="dxa"/>
            <w:shd w:val="clear" w:color="000000" w:fill="FFFFFF"/>
            <w:noWrap/>
            <w:vAlign w:val="center"/>
          </w:tcPr>
          <w:p w14:paraId="7C0A1619" w14:textId="36ED4D09"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45.9%</w:t>
            </w:r>
          </w:p>
        </w:tc>
      </w:tr>
      <w:tr w:rsidR="007738CD" w:rsidRPr="007738CD" w14:paraId="6FD0F184" w14:textId="77777777" w:rsidTr="007738CD">
        <w:trPr>
          <w:trHeight w:val="220"/>
          <w:jc w:val="center"/>
        </w:trPr>
        <w:tc>
          <w:tcPr>
            <w:tcW w:w="1271" w:type="dxa"/>
            <w:shd w:val="clear" w:color="000000" w:fill="DAE9F8"/>
            <w:noWrap/>
            <w:vAlign w:val="bottom"/>
            <w:hideMark/>
          </w:tcPr>
          <w:p w14:paraId="29A56E3E" w14:textId="77777777" w:rsidR="002360EC" w:rsidRPr="007738CD" w:rsidRDefault="002360EC" w:rsidP="007738CD">
            <w:pPr>
              <w:spacing w:after="0" w:line="240" w:lineRule="auto"/>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REST OF THE WORLD</w:t>
            </w:r>
          </w:p>
        </w:tc>
        <w:tc>
          <w:tcPr>
            <w:tcW w:w="777" w:type="dxa"/>
            <w:shd w:val="clear" w:color="000000" w:fill="DAE9F8"/>
            <w:noWrap/>
            <w:vAlign w:val="center"/>
          </w:tcPr>
          <w:p w14:paraId="4A82F7D2" w14:textId="0BA4A5D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49</w:t>
            </w:r>
          </w:p>
        </w:tc>
        <w:tc>
          <w:tcPr>
            <w:tcW w:w="872" w:type="dxa"/>
            <w:shd w:val="clear" w:color="000000" w:fill="DAE9F8"/>
            <w:noWrap/>
            <w:vAlign w:val="center"/>
          </w:tcPr>
          <w:p w14:paraId="1D6A0F14" w14:textId="4679FD25"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885" w:type="dxa"/>
            <w:shd w:val="clear" w:color="000000" w:fill="DAE9F8"/>
            <w:noWrap/>
            <w:vAlign w:val="center"/>
          </w:tcPr>
          <w:p w14:paraId="08D1394D" w14:textId="50F15373"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40</w:t>
            </w:r>
          </w:p>
        </w:tc>
        <w:tc>
          <w:tcPr>
            <w:tcW w:w="771" w:type="dxa"/>
            <w:shd w:val="clear" w:color="000000" w:fill="DAE9F8"/>
            <w:noWrap/>
            <w:vAlign w:val="center"/>
          </w:tcPr>
          <w:p w14:paraId="5D8FF9F1" w14:textId="551B48E7"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99" w:type="dxa"/>
            <w:shd w:val="clear" w:color="000000" w:fill="DAE9F8"/>
            <w:noWrap/>
            <w:vAlign w:val="center"/>
          </w:tcPr>
          <w:p w14:paraId="77746A83" w14:textId="12C8B5DD"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01" w:type="dxa"/>
            <w:shd w:val="clear" w:color="000000" w:fill="DAE9F8"/>
            <w:noWrap/>
            <w:vAlign w:val="center"/>
          </w:tcPr>
          <w:p w14:paraId="48272D3C" w14:textId="38F5A0FF"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1034" w:type="dxa"/>
            <w:shd w:val="clear" w:color="000000" w:fill="DAE9F8"/>
            <w:noWrap/>
            <w:vAlign w:val="center"/>
          </w:tcPr>
          <w:p w14:paraId="21FF2433" w14:textId="422E3BF1"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0</w:t>
            </w:r>
          </w:p>
        </w:tc>
        <w:tc>
          <w:tcPr>
            <w:tcW w:w="981" w:type="dxa"/>
            <w:shd w:val="clear" w:color="000000" w:fill="DAE9F8"/>
            <w:noWrap/>
            <w:vAlign w:val="center"/>
          </w:tcPr>
          <w:p w14:paraId="541C845B" w14:textId="02BE5636"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1</w:t>
            </w:r>
          </w:p>
        </w:tc>
        <w:tc>
          <w:tcPr>
            <w:tcW w:w="1055" w:type="dxa"/>
            <w:shd w:val="clear" w:color="000000" w:fill="DAE9F8"/>
            <w:noWrap/>
            <w:vAlign w:val="center"/>
          </w:tcPr>
          <w:p w14:paraId="650E6A01" w14:textId="5AFDF7EF"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90</w:t>
            </w:r>
          </w:p>
        </w:tc>
        <w:tc>
          <w:tcPr>
            <w:tcW w:w="1055" w:type="dxa"/>
            <w:shd w:val="clear" w:color="000000" w:fill="DAE9F8"/>
            <w:noWrap/>
            <w:vAlign w:val="center"/>
          </w:tcPr>
          <w:p w14:paraId="7505851F" w14:textId="48B126F0" w:rsidR="002360EC" w:rsidRPr="007738CD" w:rsidRDefault="002360EC" w:rsidP="007738CD">
            <w:pPr>
              <w:spacing w:after="0" w:line="240" w:lineRule="auto"/>
              <w:jc w:val="right"/>
              <w:rPr>
                <w:rFonts w:ascii="Arial" w:eastAsia="Times New Roman" w:hAnsi="Arial" w:cs="Arial"/>
                <w:kern w:val="0"/>
                <w:sz w:val="16"/>
                <w:szCs w:val="16"/>
                <w:lang w:eastAsia="en-GB"/>
                <w14:ligatures w14:val="none"/>
              </w:rPr>
            </w:pPr>
            <w:r w:rsidRPr="007738CD">
              <w:rPr>
                <w:rFonts w:ascii="Arial" w:eastAsia="Times New Roman" w:hAnsi="Arial" w:cs="Arial"/>
                <w:kern w:val="0"/>
                <w:sz w:val="16"/>
                <w:szCs w:val="16"/>
                <w:lang w:eastAsia="en-GB"/>
                <w14:ligatures w14:val="none"/>
              </w:rPr>
              <w:t>54.4</w:t>
            </w:r>
            <w:r w:rsidR="00677546" w:rsidRPr="007738CD">
              <w:rPr>
                <w:rFonts w:ascii="Arial" w:eastAsia="Times New Roman" w:hAnsi="Arial" w:cs="Arial"/>
                <w:kern w:val="0"/>
                <w:sz w:val="16"/>
                <w:szCs w:val="16"/>
                <w:lang w:eastAsia="en-GB"/>
                <w14:ligatures w14:val="none"/>
              </w:rPr>
              <w:t>%</w:t>
            </w:r>
          </w:p>
        </w:tc>
      </w:tr>
      <w:tr w:rsidR="007738CD" w:rsidRPr="007738CD" w14:paraId="6497CFFD" w14:textId="77777777" w:rsidTr="007738CD">
        <w:trPr>
          <w:trHeight w:hRule="exact" w:val="220"/>
          <w:jc w:val="center"/>
        </w:trPr>
        <w:tc>
          <w:tcPr>
            <w:tcW w:w="1271" w:type="dxa"/>
            <w:shd w:val="clear" w:color="auto" w:fill="153D63" w:themeFill="text2" w:themeFillTint="E6"/>
            <w:noWrap/>
            <w:vAlign w:val="bottom"/>
            <w:hideMark/>
          </w:tcPr>
          <w:p w14:paraId="3DCE4D83" w14:textId="77777777" w:rsidR="002360EC" w:rsidRPr="007738CD" w:rsidRDefault="002360EC" w:rsidP="007738CD">
            <w:pPr>
              <w:spacing w:after="0" w:line="240" w:lineRule="auto"/>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Total</w:t>
            </w:r>
          </w:p>
        </w:tc>
        <w:tc>
          <w:tcPr>
            <w:tcW w:w="777" w:type="dxa"/>
            <w:shd w:val="clear" w:color="000000" w:fill="153D63"/>
            <w:noWrap/>
            <w:vAlign w:val="center"/>
          </w:tcPr>
          <w:p w14:paraId="2E807E78" w14:textId="6FEBC6C2"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14287</w:t>
            </w:r>
          </w:p>
        </w:tc>
        <w:tc>
          <w:tcPr>
            <w:tcW w:w="872" w:type="dxa"/>
            <w:shd w:val="clear" w:color="000000" w:fill="153D63"/>
            <w:noWrap/>
            <w:vAlign w:val="center"/>
          </w:tcPr>
          <w:p w14:paraId="1280A04E" w14:textId="4334E2EF"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13</w:t>
            </w:r>
          </w:p>
        </w:tc>
        <w:tc>
          <w:tcPr>
            <w:tcW w:w="885" w:type="dxa"/>
            <w:shd w:val="clear" w:color="000000" w:fill="153D63"/>
            <w:noWrap/>
            <w:vAlign w:val="center"/>
          </w:tcPr>
          <w:p w14:paraId="6B929A96" w14:textId="5EF2B860"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8879</w:t>
            </w:r>
          </w:p>
        </w:tc>
        <w:tc>
          <w:tcPr>
            <w:tcW w:w="771" w:type="dxa"/>
            <w:shd w:val="clear" w:color="000000" w:fill="153D63"/>
            <w:noWrap/>
            <w:vAlign w:val="center"/>
          </w:tcPr>
          <w:p w14:paraId="72416CEB" w14:textId="209814A4"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374</w:t>
            </w:r>
          </w:p>
        </w:tc>
        <w:tc>
          <w:tcPr>
            <w:tcW w:w="999" w:type="dxa"/>
            <w:shd w:val="clear" w:color="000000" w:fill="153D63"/>
            <w:noWrap/>
            <w:vAlign w:val="center"/>
          </w:tcPr>
          <w:p w14:paraId="52FC5A19" w14:textId="055CA249"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6</w:t>
            </w:r>
          </w:p>
        </w:tc>
        <w:tc>
          <w:tcPr>
            <w:tcW w:w="901" w:type="dxa"/>
            <w:shd w:val="clear" w:color="000000" w:fill="153D63"/>
            <w:noWrap/>
            <w:vAlign w:val="center"/>
          </w:tcPr>
          <w:p w14:paraId="36194C1F" w14:textId="4DCA81AB"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448</w:t>
            </w:r>
          </w:p>
        </w:tc>
        <w:tc>
          <w:tcPr>
            <w:tcW w:w="1034" w:type="dxa"/>
            <w:shd w:val="clear" w:color="000000" w:fill="153D63"/>
            <w:noWrap/>
            <w:vAlign w:val="center"/>
          </w:tcPr>
          <w:p w14:paraId="038A0F57" w14:textId="6CDD4AF8"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11</w:t>
            </w:r>
          </w:p>
        </w:tc>
        <w:tc>
          <w:tcPr>
            <w:tcW w:w="981" w:type="dxa"/>
            <w:shd w:val="clear" w:color="000000" w:fill="153D63"/>
            <w:noWrap/>
            <w:vAlign w:val="center"/>
          </w:tcPr>
          <w:p w14:paraId="627B3A6B" w14:textId="009201BC"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18</w:t>
            </w:r>
          </w:p>
        </w:tc>
        <w:tc>
          <w:tcPr>
            <w:tcW w:w="1055" w:type="dxa"/>
            <w:shd w:val="clear" w:color="000000" w:fill="153D63"/>
            <w:noWrap/>
            <w:vAlign w:val="center"/>
          </w:tcPr>
          <w:p w14:paraId="2C7D1575" w14:textId="7C5943AA" w:rsidR="002360EC" w:rsidRPr="007738CD" w:rsidRDefault="002360EC" w:rsidP="007738CD">
            <w:pPr>
              <w:spacing w:after="0" w:line="240" w:lineRule="auto"/>
              <w:jc w:val="right"/>
              <w:rPr>
                <w:rFonts w:ascii="Arial" w:eastAsia="Times New Roman" w:hAnsi="Arial" w:cs="Arial"/>
                <w:b/>
                <w:bCs/>
                <w:kern w:val="0"/>
                <w:sz w:val="16"/>
                <w:szCs w:val="16"/>
                <w:lang w:eastAsia="en-GB"/>
                <w14:ligatures w14:val="none"/>
              </w:rPr>
            </w:pPr>
            <w:r w:rsidRPr="007738CD">
              <w:rPr>
                <w:rFonts w:ascii="Arial" w:eastAsia="Times New Roman" w:hAnsi="Arial" w:cs="Arial"/>
                <w:b/>
                <w:bCs/>
                <w:kern w:val="0"/>
                <w:sz w:val="16"/>
                <w:szCs w:val="16"/>
                <w:lang w:eastAsia="en-GB"/>
                <w14:ligatures w14:val="none"/>
              </w:rPr>
              <w:t>24036</w:t>
            </w:r>
          </w:p>
        </w:tc>
        <w:tc>
          <w:tcPr>
            <w:tcW w:w="1055" w:type="dxa"/>
            <w:shd w:val="clear" w:color="000000" w:fill="153D63"/>
            <w:vAlign w:val="center"/>
          </w:tcPr>
          <w:p w14:paraId="55ACE346" w14:textId="0785BDB5" w:rsidR="002360EC" w:rsidRPr="007738CD" w:rsidRDefault="002360EC" w:rsidP="007738CD">
            <w:pPr>
              <w:spacing w:after="0" w:line="240" w:lineRule="auto"/>
              <w:jc w:val="right"/>
              <w:rPr>
                <w:rFonts w:ascii="Arial" w:eastAsia="Calibri" w:hAnsi="Arial" w:cs="Arial"/>
                <w:kern w:val="0"/>
                <w:sz w:val="16"/>
                <w:szCs w:val="16"/>
                <w14:ligatures w14:val="none"/>
              </w:rPr>
            </w:pPr>
            <w:r w:rsidRPr="007738CD">
              <w:rPr>
                <w:rFonts w:ascii="Arial" w:eastAsia="Times New Roman" w:hAnsi="Arial" w:cs="Arial"/>
                <w:b/>
                <w:bCs/>
                <w:kern w:val="0"/>
                <w:sz w:val="16"/>
                <w:szCs w:val="16"/>
                <w:lang w:eastAsia="en-GB"/>
                <w14:ligatures w14:val="none"/>
              </w:rPr>
              <w:t>56.36</w:t>
            </w:r>
          </w:p>
        </w:tc>
      </w:tr>
    </w:tbl>
    <w:p w14:paraId="7169E586" w14:textId="77777777" w:rsidR="00076683" w:rsidRPr="007738CD" w:rsidRDefault="00076683" w:rsidP="007738CD">
      <w:pPr>
        <w:spacing w:before="120" w:after="120" w:line="240" w:lineRule="auto"/>
        <w:rPr>
          <w:rFonts w:ascii="Arial" w:hAnsi="Arial" w:cs="Arial"/>
        </w:rPr>
      </w:pPr>
    </w:p>
    <w:p w14:paraId="1E542E8F" w14:textId="694C11DA" w:rsidR="007738CD" w:rsidRPr="007738CD" w:rsidRDefault="00520780" w:rsidP="007738CD">
      <w:pPr>
        <w:spacing w:before="120" w:after="120" w:line="240" w:lineRule="auto"/>
        <w:rPr>
          <w:rFonts w:ascii="Arial" w:hAnsi="Arial" w:cs="Arial"/>
          <w:i/>
          <w:iCs/>
          <w:u w:val="single"/>
        </w:rPr>
      </w:pPr>
      <w:r w:rsidRPr="007738CD">
        <w:rPr>
          <w:rFonts w:ascii="Arial" w:hAnsi="Arial" w:cs="Arial"/>
        </w:rPr>
        <w:t xml:space="preserve">Table 7 below demonstrates just how significant these concerns are in the US &amp; Canada. </w:t>
      </w:r>
      <w:r w:rsidR="00B60630" w:rsidRPr="007738CD">
        <w:rPr>
          <w:rFonts w:ascii="Arial" w:hAnsi="Arial" w:cs="Arial"/>
        </w:rPr>
        <w:t xml:space="preserve">Resolutions </w:t>
      </w:r>
      <w:r w:rsidR="00C34C58" w:rsidRPr="007738CD">
        <w:rPr>
          <w:rFonts w:ascii="Arial" w:hAnsi="Arial" w:cs="Arial"/>
        </w:rPr>
        <w:t>in relation to the appointment of the</w:t>
      </w:r>
      <w:r w:rsidR="00B60630" w:rsidRPr="007738CD">
        <w:rPr>
          <w:rFonts w:ascii="Arial" w:hAnsi="Arial" w:cs="Arial"/>
        </w:rPr>
        <w:t xml:space="preserve"> auditor </w:t>
      </w:r>
      <w:r w:rsidR="002B2B27" w:rsidRPr="007738CD">
        <w:rPr>
          <w:rFonts w:ascii="Arial" w:hAnsi="Arial" w:cs="Arial"/>
        </w:rPr>
        <w:t>and on approving</w:t>
      </w:r>
      <w:r w:rsidR="00B60630" w:rsidRPr="007738CD">
        <w:rPr>
          <w:rFonts w:ascii="Arial" w:hAnsi="Arial" w:cs="Arial"/>
        </w:rPr>
        <w:t xml:space="preserve"> executive pay sch</w:t>
      </w:r>
      <w:r w:rsidR="00704B7B" w:rsidRPr="007738CD">
        <w:rPr>
          <w:rFonts w:ascii="Arial" w:hAnsi="Arial" w:cs="Arial"/>
        </w:rPr>
        <w:t xml:space="preserve">emes </w:t>
      </w:r>
      <w:r w:rsidR="002B2B27" w:rsidRPr="007738CD">
        <w:rPr>
          <w:rFonts w:ascii="Arial" w:hAnsi="Arial" w:cs="Arial"/>
        </w:rPr>
        <w:t xml:space="preserve">both </w:t>
      </w:r>
      <w:r w:rsidR="000C0EA3" w:rsidRPr="007738CD">
        <w:rPr>
          <w:rFonts w:ascii="Arial" w:hAnsi="Arial" w:cs="Arial"/>
        </w:rPr>
        <w:t xml:space="preserve">saw support levels below 10%. Furthermore, and despite the importance and significance of </w:t>
      </w:r>
      <w:r w:rsidR="00704B7B" w:rsidRPr="007738CD">
        <w:rPr>
          <w:rFonts w:ascii="Arial" w:hAnsi="Arial" w:cs="Arial"/>
        </w:rPr>
        <w:t xml:space="preserve">resolutions </w:t>
      </w:r>
      <w:r w:rsidR="00C34C58" w:rsidRPr="007738CD">
        <w:rPr>
          <w:rFonts w:ascii="Arial" w:hAnsi="Arial" w:cs="Arial"/>
        </w:rPr>
        <w:t>to approve</w:t>
      </w:r>
      <w:r w:rsidR="00704B7B" w:rsidRPr="007738CD">
        <w:rPr>
          <w:rFonts w:ascii="Arial" w:hAnsi="Arial" w:cs="Arial"/>
        </w:rPr>
        <w:t xml:space="preserve"> the annual report and </w:t>
      </w:r>
      <w:r w:rsidR="00C34C58" w:rsidRPr="007738CD">
        <w:rPr>
          <w:rFonts w:ascii="Arial" w:hAnsi="Arial" w:cs="Arial"/>
        </w:rPr>
        <w:t>to elect or re-elect</w:t>
      </w:r>
      <w:r w:rsidR="00704B7B" w:rsidRPr="007738CD">
        <w:rPr>
          <w:rFonts w:ascii="Arial" w:hAnsi="Arial" w:cs="Arial"/>
        </w:rPr>
        <w:t xml:space="preserve"> director</w:t>
      </w:r>
      <w:r w:rsidR="00C34C58" w:rsidRPr="007738CD">
        <w:rPr>
          <w:rFonts w:ascii="Arial" w:hAnsi="Arial" w:cs="Arial"/>
        </w:rPr>
        <w:t>s</w:t>
      </w:r>
      <w:r w:rsidR="000C0EA3" w:rsidRPr="007738CD">
        <w:rPr>
          <w:rFonts w:ascii="Arial" w:hAnsi="Arial" w:cs="Arial"/>
        </w:rPr>
        <w:t xml:space="preserve">, these resolutions </w:t>
      </w:r>
      <w:r w:rsidR="00693A60" w:rsidRPr="007738CD">
        <w:rPr>
          <w:rFonts w:ascii="Arial" w:hAnsi="Arial" w:cs="Arial"/>
        </w:rPr>
        <w:t xml:space="preserve">only received about 50% support. </w:t>
      </w:r>
      <w:r w:rsidR="0062536C" w:rsidRPr="007738CD">
        <w:rPr>
          <w:rFonts w:ascii="Arial" w:hAnsi="Arial" w:cs="Arial"/>
        </w:rPr>
        <w:t xml:space="preserve">When compared to </w:t>
      </w:r>
      <w:r w:rsidR="008D484F" w:rsidRPr="007738CD">
        <w:rPr>
          <w:rFonts w:ascii="Arial" w:hAnsi="Arial" w:cs="Arial"/>
        </w:rPr>
        <w:t>the UK</w:t>
      </w:r>
      <w:r w:rsidR="00FE765C" w:rsidRPr="007738CD">
        <w:rPr>
          <w:rFonts w:ascii="Arial" w:hAnsi="Arial" w:cs="Arial"/>
        </w:rPr>
        <w:t xml:space="preserve"> and Europe</w:t>
      </w:r>
      <w:r w:rsidR="008D484F" w:rsidRPr="007738CD">
        <w:rPr>
          <w:rFonts w:ascii="Arial" w:hAnsi="Arial" w:cs="Arial"/>
        </w:rPr>
        <w:t xml:space="preserve">, for instance, levels of support for these resolutions are </w:t>
      </w:r>
      <w:r w:rsidR="006B1E67" w:rsidRPr="007738CD">
        <w:rPr>
          <w:rFonts w:ascii="Arial" w:hAnsi="Arial" w:cs="Arial"/>
        </w:rPr>
        <w:t xml:space="preserve">substantially higher, showing the US </w:t>
      </w:r>
      <w:r w:rsidR="00FA44C6" w:rsidRPr="007738CD">
        <w:rPr>
          <w:rFonts w:ascii="Arial" w:hAnsi="Arial" w:cs="Arial"/>
        </w:rPr>
        <w:t xml:space="preserve">as governance laggards. </w:t>
      </w:r>
    </w:p>
    <w:p w14:paraId="0B1CF58A" w14:textId="45C12924" w:rsidR="00203FB8" w:rsidRPr="007738CD" w:rsidRDefault="00076683" w:rsidP="007738CD">
      <w:pPr>
        <w:spacing w:before="120" w:after="120" w:line="240" w:lineRule="auto"/>
        <w:rPr>
          <w:rFonts w:ascii="Arial" w:hAnsi="Arial" w:cs="Arial"/>
          <w:i/>
          <w:iCs/>
          <w:u w:val="single"/>
        </w:rPr>
      </w:pPr>
      <w:r w:rsidRPr="007738CD">
        <w:rPr>
          <w:rFonts w:ascii="Arial" w:hAnsi="Arial" w:cs="Arial"/>
          <w:i/>
          <w:iCs/>
          <w:u w:val="single"/>
        </w:rPr>
        <w:t xml:space="preserve">Table 7 – </w:t>
      </w:r>
      <w:r w:rsidR="00203FB8" w:rsidRPr="007738CD">
        <w:rPr>
          <w:rFonts w:ascii="Arial" w:hAnsi="Arial" w:cs="Arial"/>
          <w:i/>
          <w:iCs/>
          <w:u w:val="single"/>
        </w:rPr>
        <w:t xml:space="preserve">Proportion of support votes by resolution category and region </w:t>
      </w:r>
    </w:p>
    <w:tbl>
      <w:tblPr>
        <w:tblW w:w="9351" w:type="dxa"/>
        <w:tblLayout w:type="fixed"/>
        <w:tblLook w:val="04A0" w:firstRow="1" w:lastRow="0" w:firstColumn="1" w:lastColumn="0" w:noHBand="0" w:noVBand="1"/>
      </w:tblPr>
      <w:tblGrid>
        <w:gridCol w:w="3114"/>
        <w:gridCol w:w="1134"/>
        <w:gridCol w:w="1984"/>
        <w:gridCol w:w="1140"/>
        <w:gridCol w:w="987"/>
        <w:gridCol w:w="992"/>
      </w:tblGrid>
      <w:tr w:rsidR="007738CD" w:rsidRPr="007738CD" w14:paraId="226F120B" w14:textId="77777777" w:rsidTr="00EF7CAD">
        <w:trPr>
          <w:trHeight w:val="315"/>
          <w:tblHeader/>
        </w:trPr>
        <w:tc>
          <w:tcPr>
            <w:tcW w:w="3114"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hideMark/>
          </w:tcPr>
          <w:p w14:paraId="71045F9C"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 Type</w:t>
            </w:r>
          </w:p>
        </w:tc>
        <w:tc>
          <w:tcPr>
            <w:tcW w:w="1134"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4FD4D184"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UK (2025)</w:t>
            </w:r>
          </w:p>
        </w:tc>
        <w:tc>
          <w:tcPr>
            <w:tcW w:w="1984"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327699E2"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USA &amp; Canada (2025)</w:t>
            </w:r>
          </w:p>
        </w:tc>
        <w:tc>
          <w:tcPr>
            <w:tcW w:w="1140"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0AFA4048"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Europe (2025)</w:t>
            </w:r>
          </w:p>
        </w:tc>
        <w:tc>
          <w:tcPr>
            <w:tcW w:w="987"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3D80C114"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All (2025)</w:t>
            </w:r>
          </w:p>
        </w:tc>
        <w:tc>
          <w:tcPr>
            <w:tcW w:w="992" w:type="dxa"/>
            <w:tcBorders>
              <w:top w:val="single" w:sz="4" w:space="0" w:color="auto"/>
              <w:left w:val="nil"/>
              <w:bottom w:val="single" w:sz="4" w:space="0" w:color="auto"/>
              <w:right w:val="single" w:sz="4" w:space="0" w:color="auto"/>
            </w:tcBorders>
            <w:shd w:val="clear" w:color="auto" w:fill="153D63" w:themeFill="text2" w:themeFillTint="E6"/>
            <w:noWrap/>
            <w:vAlign w:val="center"/>
            <w:hideMark/>
          </w:tcPr>
          <w:p w14:paraId="0F7BFB94" w14:textId="77777777" w:rsidR="00203FB8" w:rsidRPr="007738CD" w:rsidRDefault="00203FB8" w:rsidP="007738C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All (2024)</w:t>
            </w:r>
          </w:p>
        </w:tc>
      </w:tr>
      <w:tr w:rsidR="007738CD" w:rsidRPr="007738CD" w14:paraId="0987F1A7"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1A13E918"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All Employee Schemes</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08E200EF" w14:textId="55A3C9E9"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44.7%</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614A81AD" w14:textId="0744AFA9"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26.6</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025DB42D" w14:textId="5211715B"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64.</w:t>
            </w:r>
            <w:r w:rsidR="00F61062" w:rsidRPr="007738CD">
              <w:rPr>
                <w:rFonts w:ascii="Arial" w:hAnsi="Arial" w:cs="Arial"/>
                <w:sz w:val="18"/>
                <w:szCs w:val="18"/>
              </w:rPr>
              <w:t>3%</w:t>
            </w:r>
          </w:p>
        </w:tc>
        <w:tc>
          <w:tcPr>
            <w:tcW w:w="987" w:type="dxa"/>
            <w:tcBorders>
              <w:top w:val="single" w:sz="4" w:space="0" w:color="auto"/>
              <w:left w:val="nil"/>
              <w:bottom w:val="single" w:sz="4" w:space="0" w:color="auto"/>
              <w:right w:val="nil"/>
            </w:tcBorders>
            <w:shd w:val="clear" w:color="auto" w:fill="DEEAF6"/>
            <w:noWrap/>
            <w:vAlign w:val="bottom"/>
          </w:tcPr>
          <w:p w14:paraId="5FD5CC28" w14:textId="3F678E2B"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53.</w:t>
            </w:r>
            <w:r w:rsidR="00163235" w:rsidRPr="007738CD">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8060203"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46.1%</w:t>
            </w:r>
          </w:p>
        </w:tc>
      </w:tr>
      <w:tr w:rsidR="007738CD" w:rsidRPr="007738CD" w14:paraId="6D9306D9"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3F4E4EDD"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Annual Reports (Remuneration Reports Included)</w:t>
            </w:r>
          </w:p>
        </w:tc>
        <w:tc>
          <w:tcPr>
            <w:tcW w:w="1134" w:type="dxa"/>
            <w:tcBorders>
              <w:top w:val="single" w:sz="4" w:space="0" w:color="auto"/>
              <w:left w:val="nil"/>
              <w:bottom w:val="single" w:sz="4" w:space="0" w:color="auto"/>
              <w:right w:val="single" w:sz="4" w:space="0" w:color="auto"/>
            </w:tcBorders>
            <w:noWrap/>
            <w:vAlign w:val="bottom"/>
          </w:tcPr>
          <w:p w14:paraId="3A343ACB" w14:textId="0785C644"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72.2%</w:t>
            </w:r>
          </w:p>
        </w:tc>
        <w:tc>
          <w:tcPr>
            <w:tcW w:w="1984" w:type="dxa"/>
            <w:tcBorders>
              <w:top w:val="single" w:sz="4" w:space="0" w:color="auto"/>
              <w:left w:val="single" w:sz="4" w:space="0" w:color="auto"/>
              <w:bottom w:val="single" w:sz="4" w:space="0" w:color="auto"/>
              <w:right w:val="single" w:sz="4" w:space="0" w:color="auto"/>
            </w:tcBorders>
            <w:noWrap/>
            <w:vAlign w:val="bottom"/>
          </w:tcPr>
          <w:p w14:paraId="00C054AB" w14:textId="4F532F51"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50</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noWrap/>
            <w:vAlign w:val="bottom"/>
          </w:tcPr>
          <w:p w14:paraId="6D7CCC35" w14:textId="04A1E583"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40.</w:t>
            </w:r>
            <w:r w:rsidR="00F61062" w:rsidRPr="007738CD">
              <w:rPr>
                <w:rFonts w:ascii="Arial" w:hAnsi="Arial" w:cs="Arial"/>
                <w:sz w:val="18"/>
                <w:szCs w:val="18"/>
              </w:rPr>
              <w:t>4%</w:t>
            </w:r>
          </w:p>
        </w:tc>
        <w:tc>
          <w:tcPr>
            <w:tcW w:w="987" w:type="dxa"/>
            <w:tcBorders>
              <w:top w:val="single" w:sz="4" w:space="0" w:color="auto"/>
              <w:left w:val="nil"/>
              <w:bottom w:val="single" w:sz="4" w:space="0" w:color="auto"/>
              <w:right w:val="nil"/>
            </w:tcBorders>
            <w:noWrap/>
            <w:vAlign w:val="bottom"/>
          </w:tcPr>
          <w:p w14:paraId="67B2EDE9" w14:textId="5AF1C98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43.</w:t>
            </w:r>
            <w:r w:rsidR="00163235" w:rsidRPr="007738CD">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bottom"/>
          </w:tcPr>
          <w:p w14:paraId="565DF529"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41.8%</w:t>
            </w:r>
          </w:p>
        </w:tc>
      </w:tr>
      <w:tr w:rsidR="007738CD" w:rsidRPr="007738CD" w14:paraId="51219A6E"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3C7AB4AF"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Articles of Association</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4A726F2C" w14:textId="3213D148"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99.8%</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31FBD68" w14:textId="687FB470"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w:t>
            </w:r>
            <w:r w:rsidR="00F61062" w:rsidRPr="007738CD">
              <w:rPr>
                <w:rFonts w:ascii="Arial" w:hAnsi="Arial" w:cs="Arial"/>
                <w:sz w:val="18"/>
                <w:szCs w:val="18"/>
              </w:rPr>
              <w:t>1%</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13B21121" w14:textId="44A32C7F"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68.</w:t>
            </w:r>
            <w:r w:rsidR="00F61062" w:rsidRPr="007738CD">
              <w:rPr>
                <w:rFonts w:ascii="Arial" w:hAnsi="Arial" w:cs="Arial"/>
                <w:sz w:val="18"/>
                <w:szCs w:val="18"/>
              </w:rPr>
              <w:t>7%</w:t>
            </w:r>
          </w:p>
        </w:tc>
        <w:tc>
          <w:tcPr>
            <w:tcW w:w="987" w:type="dxa"/>
            <w:tcBorders>
              <w:top w:val="single" w:sz="4" w:space="0" w:color="auto"/>
              <w:left w:val="nil"/>
              <w:bottom w:val="single" w:sz="4" w:space="0" w:color="auto"/>
              <w:right w:val="nil"/>
            </w:tcBorders>
            <w:shd w:val="clear" w:color="auto" w:fill="DEEAF6"/>
            <w:noWrap/>
            <w:vAlign w:val="bottom"/>
          </w:tcPr>
          <w:p w14:paraId="3147EA5E" w14:textId="51161916"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75.3</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EF6E7A6"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92.6%</w:t>
            </w:r>
          </w:p>
        </w:tc>
      </w:tr>
      <w:tr w:rsidR="007738CD" w:rsidRPr="007738CD" w14:paraId="75678C6F"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112E409C"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Auditors</w:t>
            </w:r>
          </w:p>
        </w:tc>
        <w:tc>
          <w:tcPr>
            <w:tcW w:w="1134" w:type="dxa"/>
            <w:tcBorders>
              <w:top w:val="single" w:sz="4" w:space="0" w:color="auto"/>
              <w:left w:val="nil"/>
              <w:bottom w:val="single" w:sz="4" w:space="0" w:color="auto"/>
              <w:right w:val="single" w:sz="4" w:space="0" w:color="auto"/>
            </w:tcBorders>
            <w:noWrap/>
            <w:vAlign w:val="bottom"/>
          </w:tcPr>
          <w:p w14:paraId="36716190" w14:textId="3D5081EF"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67.4%</w:t>
            </w:r>
          </w:p>
        </w:tc>
        <w:tc>
          <w:tcPr>
            <w:tcW w:w="1984" w:type="dxa"/>
            <w:tcBorders>
              <w:top w:val="single" w:sz="4" w:space="0" w:color="auto"/>
              <w:left w:val="single" w:sz="4" w:space="0" w:color="auto"/>
              <w:bottom w:val="single" w:sz="4" w:space="0" w:color="auto"/>
              <w:right w:val="single" w:sz="4" w:space="0" w:color="auto"/>
            </w:tcBorders>
            <w:noWrap/>
            <w:vAlign w:val="bottom"/>
          </w:tcPr>
          <w:p w14:paraId="36B89054" w14:textId="7FF8C29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6.6</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noWrap/>
            <w:vAlign w:val="bottom"/>
          </w:tcPr>
          <w:p w14:paraId="6185B723" w14:textId="5865E8B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65.</w:t>
            </w:r>
            <w:r w:rsidR="00F61062" w:rsidRPr="007738CD">
              <w:rPr>
                <w:rFonts w:ascii="Arial" w:hAnsi="Arial" w:cs="Arial"/>
                <w:sz w:val="18"/>
                <w:szCs w:val="18"/>
              </w:rPr>
              <w:t>3%</w:t>
            </w:r>
          </w:p>
        </w:tc>
        <w:tc>
          <w:tcPr>
            <w:tcW w:w="987" w:type="dxa"/>
            <w:tcBorders>
              <w:top w:val="single" w:sz="4" w:space="0" w:color="auto"/>
              <w:left w:val="nil"/>
              <w:bottom w:val="single" w:sz="4" w:space="0" w:color="auto"/>
              <w:right w:val="nil"/>
            </w:tcBorders>
            <w:noWrap/>
            <w:vAlign w:val="bottom"/>
          </w:tcPr>
          <w:p w14:paraId="61CFA4A3" w14:textId="762EBC5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50.2</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bottom"/>
          </w:tcPr>
          <w:p w14:paraId="75EBE2C5"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60.8%</w:t>
            </w:r>
          </w:p>
        </w:tc>
      </w:tr>
      <w:tr w:rsidR="007738CD" w:rsidRPr="007738CD" w14:paraId="02ECD078"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20837BAE"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Corporate Actions</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6F2C97B4" w14:textId="5495924D"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75.9%</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1CC4B7E6" w14:textId="2044FB46"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77.</w:t>
            </w:r>
            <w:r w:rsidR="00F61062" w:rsidRPr="007738CD">
              <w:rPr>
                <w:rFonts w:ascii="Arial" w:hAnsi="Arial" w:cs="Arial"/>
                <w:sz w:val="18"/>
                <w:szCs w:val="18"/>
              </w:rPr>
              <w:t>8%</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41CFAE6C" w14:textId="12E5018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100</w:t>
            </w:r>
            <w:r w:rsidR="006B1CCD"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57634418" w14:textId="2AC0A07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80.</w:t>
            </w:r>
            <w:r w:rsidR="00163235" w:rsidRPr="007738CD">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163824EA"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84.5%</w:t>
            </w:r>
          </w:p>
        </w:tc>
      </w:tr>
      <w:tr w:rsidR="007738CD" w:rsidRPr="007738CD" w14:paraId="5B86F2D4"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52064C8E"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Corporate Donations</w:t>
            </w:r>
          </w:p>
        </w:tc>
        <w:tc>
          <w:tcPr>
            <w:tcW w:w="1134" w:type="dxa"/>
            <w:tcBorders>
              <w:top w:val="single" w:sz="4" w:space="0" w:color="auto"/>
              <w:left w:val="nil"/>
              <w:bottom w:val="single" w:sz="4" w:space="0" w:color="auto"/>
              <w:right w:val="single" w:sz="4" w:space="0" w:color="auto"/>
            </w:tcBorders>
            <w:noWrap/>
            <w:vAlign w:val="bottom"/>
          </w:tcPr>
          <w:p w14:paraId="56B3CFEF" w14:textId="3F74ECE2"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76.5%</w:t>
            </w:r>
          </w:p>
        </w:tc>
        <w:tc>
          <w:tcPr>
            <w:tcW w:w="1984" w:type="dxa"/>
            <w:tcBorders>
              <w:top w:val="single" w:sz="4" w:space="0" w:color="auto"/>
              <w:left w:val="single" w:sz="4" w:space="0" w:color="auto"/>
              <w:bottom w:val="single" w:sz="4" w:space="0" w:color="auto"/>
              <w:right w:val="single" w:sz="4" w:space="0" w:color="auto"/>
            </w:tcBorders>
            <w:noWrap/>
            <w:vAlign w:val="bottom"/>
          </w:tcPr>
          <w:p w14:paraId="4B3CE754" w14:textId="6CE69FF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N/A</w:t>
            </w:r>
          </w:p>
        </w:tc>
        <w:tc>
          <w:tcPr>
            <w:tcW w:w="1140" w:type="dxa"/>
            <w:tcBorders>
              <w:top w:val="single" w:sz="4" w:space="0" w:color="auto"/>
              <w:left w:val="single" w:sz="4" w:space="0" w:color="auto"/>
              <w:bottom w:val="single" w:sz="4" w:space="0" w:color="auto"/>
              <w:right w:val="single" w:sz="4" w:space="0" w:color="auto"/>
            </w:tcBorders>
            <w:noWrap/>
            <w:vAlign w:val="bottom"/>
          </w:tcPr>
          <w:p w14:paraId="7A8363BE" w14:textId="0C93C1E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33.3</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noWrap/>
            <w:vAlign w:val="bottom"/>
          </w:tcPr>
          <w:p w14:paraId="1D967540" w14:textId="47B2E77B"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86.8</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bottom"/>
          </w:tcPr>
          <w:p w14:paraId="301CCA3A"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69.8%</w:t>
            </w:r>
          </w:p>
        </w:tc>
      </w:tr>
      <w:tr w:rsidR="007738CD" w:rsidRPr="007738CD" w14:paraId="6E73E071"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631E8E19"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Debt &amp; Loans</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263E422E" w14:textId="117A4DD6"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3D7DA42C" w14:textId="447DC5C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N/A</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180FEE13" w14:textId="1FBF4776"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57.1</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362D0A52" w14:textId="53E2A55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47.5</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8F1C733"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22.2%</w:t>
            </w:r>
          </w:p>
        </w:tc>
      </w:tr>
      <w:tr w:rsidR="007738CD" w:rsidRPr="007738CD" w14:paraId="7A8E7ACE"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6E76450F"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Directors</w:t>
            </w:r>
          </w:p>
        </w:tc>
        <w:tc>
          <w:tcPr>
            <w:tcW w:w="1134" w:type="dxa"/>
            <w:tcBorders>
              <w:top w:val="single" w:sz="4" w:space="0" w:color="auto"/>
              <w:left w:val="nil"/>
              <w:bottom w:val="single" w:sz="4" w:space="0" w:color="auto"/>
              <w:right w:val="single" w:sz="4" w:space="0" w:color="auto"/>
            </w:tcBorders>
            <w:noWrap/>
            <w:vAlign w:val="bottom"/>
          </w:tcPr>
          <w:p w14:paraId="4A4453F3" w14:textId="178FEF58"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74.3%</w:t>
            </w:r>
          </w:p>
        </w:tc>
        <w:tc>
          <w:tcPr>
            <w:tcW w:w="1984" w:type="dxa"/>
            <w:tcBorders>
              <w:top w:val="single" w:sz="4" w:space="0" w:color="auto"/>
              <w:left w:val="single" w:sz="4" w:space="0" w:color="auto"/>
              <w:bottom w:val="single" w:sz="4" w:space="0" w:color="auto"/>
              <w:right w:val="single" w:sz="4" w:space="0" w:color="auto"/>
            </w:tcBorders>
            <w:noWrap/>
            <w:vAlign w:val="bottom"/>
          </w:tcPr>
          <w:p w14:paraId="3A5562BA" w14:textId="2E16133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48.</w:t>
            </w:r>
            <w:r w:rsidR="00F61062" w:rsidRPr="007738CD">
              <w:rPr>
                <w:rFonts w:ascii="Arial" w:hAnsi="Arial" w:cs="Arial"/>
                <w:sz w:val="18"/>
                <w:szCs w:val="18"/>
              </w:rPr>
              <w:t>5%</w:t>
            </w:r>
          </w:p>
        </w:tc>
        <w:tc>
          <w:tcPr>
            <w:tcW w:w="1140" w:type="dxa"/>
            <w:tcBorders>
              <w:top w:val="single" w:sz="4" w:space="0" w:color="auto"/>
              <w:left w:val="single" w:sz="4" w:space="0" w:color="auto"/>
              <w:bottom w:val="single" w:sz="4" w:space="0" w:color="auto"/>
              <w:right w:val="single" w:sz="4" w:space="0" w:color="auto"/>
            </w:tcBorders>
            <w:noWrap/>
            <w:vAlign w:val="bottom"/>
          </w:tcPr>
          <w:p w14:paraId="78B93E0D" w14:textId="1A5120B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68.6</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noWrap/>
            <w:vAlign w:val="bottom"/>
          </w:tcPr>
          <w:p w14:paraId="758E79AC" w14:textId="2B954443"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59.</w:t>
            </w:r>
            <w:r w:rsidR="00163235" w:rsidRPr="007738CD">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noWrap/>
            <w:vAlign w:val="bottom"/>
          </w:tcPr>
          <w:p w14:paraId="75DEAC8C"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78.8%</w:t>
            </w:r>
          </w:p>
        </w:tc>
      </w:tr>
      <w:tr w:rsidR="007738CD" w:rsidRPr="007738CD" w14:paraId="512F14D3"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470A2C18"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Dividend</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6C4A66EA" w14:textId="62536690"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85.7%</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D5B02CF" w14:textId="4C598623"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85.7</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787BD4E" w14:textId="4F683928"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97.8</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1D7627CA" w14:textId="7B19A2A1"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97.7</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58E12AAD"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99.6%</w:t>
            </w:r>
          </w:p>
        </w:tc>
      </w:tr>
      <w:tr w:rsidR="007738CD" w:rsidRPr="007738CD" w14:paraId="2D9F8F9D"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163EC4A9"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Executive Pay Scheme</w:t>
            </w:r>
          </w:p>
        </w:tc>
        <w:tc>
          <w:tcPr>
            <w:tcW w:w="1134" w:type="dxa"/>
            <w:tcBorders>
              <w:top w:val="single" w:sz="4" w:space="0" w:color="auto"/>
              <w:left w:val="nil"/>
              <w:bottom w:val="single" w:sz="4" w:space="0" w:color="auto"/>
              <w:right w:val="single" w:sz="4" w:space="0" w:color="auto"/>
            </w:tcBorders>
            <w:noWrap/>
            <w:vAlign w:val="bottom"/>
          </w:tcPr>
          <w:p w14:paraId="010B515A" w14:textId="1CA742E8"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90.9</w:t>
            </w:r>
            <w:r w:rsidR="00F61062" w:rsidRPr="007738CD">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noWrap/>
            <w:vAlign w:val="bottom"/>
          </w:tcPr>
          <w:p w14:paraId="2A3CA7E3" w14:textId="5D2F0934"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4.</w:t>
            </w:r>
            <w:r w:rsidR="00F61062" w:rsidRPr="007738CD">
              <w:rPr>
                <w:rFonts w:ascii="Arial" w:hAnsi="Arial" w:cs="Arial"/>
                <w:sz w:val="18"/>
                <w:szCs w:val="18"/>
              </w:rPr>
              <w:t>6%</w:t>
            </w:r>
          </w:p>
        </w:tc>
        <w:tc>
          <w:tcPr>
            <w:tcW w:w="1140" w:type="dxa"/>
            <w:tcBorders>
              <w:top w:val="single" w:sz="4" w:space="0" w:color="auto"/>
              <w:left w:val="single" w:sz="4" w:space="0" w:color="auto"/>
              <w:bottom w:val="single" w:sz="4" w:space="0" w:color="auto"/>
              <w:right w:val="single" w:sz="4" w:space="0" w:color="auto"/>
            </w:tcBorders>
            <w:noWrap/>
            <w:vAlign w:val="bottom"/>
          </w:tcPr>
          <w:p w14:paraId="74018029" w14:textId="1D6F6AEB"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21.</w:t>
            </w:r>
            <w:r w:rsidR="00163235" w:rsidRPr="007738CD">
              <w:rPr>
                <w:rFonts w:ascii="Arial" w:hAnsi="Arial" w:cs="Arial"/>
                <w:sz w:val="18"/>
                <w:szCs w:val="18"/>
              </w:rPr>
              <w:t>9%</w:t>
            </w:r>
          </w:p>
        </w:tc>
        <w:tc>
          <w:tcPr>
            <w:tcW w:w="987" w:type="dxa"/>
            <w:tcBorders>
              <w:top w:val="single" w:sz="4" w:space="0" w:color="auto"/>
              <w:left w:val="nil"/>
              <w:bottom w:val="single" w:sz="4" w:space="0" w:color="auto"/>
              <w:right w:val="nil"/>
            </w:tcBorders>
            <w:noWrap/>
            <w:vAlign w:val="bottom"/>
          </w:tcPr>
          <w:p w14:paraId="789EA249" w14:textId="689792A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7.8</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bottom"/>
          </w:tcPr>
          <w:p w14:paraId="78C4B6A3"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6.7%</w:t>
            </w:r>
          </w:p>
        </w:tc>
      </w:tr>
      <w:tr w:rsidR="007738CD" w:rsidRPr="007738CD" w14:paraId="130F3609"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5D555260"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Miscellaneous</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2D460CA3" w14:textId="62C3EF56"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76.</w:t>
            </w:r>
            <w:r w:rsidR="00F61062" w:rsidRPr="007738CD">
              <w:rPr>
                <w:rFonts w:ascii="Arial" w:hAnsi="Arial" w:cs="Arial"/>
                <w:sz w:val="18"/>
                <w:szCs w:val="18"/>
              </w:rPr>
              <w:t>3%</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35F81EF" w14:textId="46C1ADB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18.</w:t>
            </w:r>
            <w:r w:rsidR="00F61062" w:rsidRPr="007738CD">
              <w:rPr>
                <w:rFonts w:ascii="Arial" w:hAnsi="Arial" w:cs="Arial"/>
                <w:sz w:val="18"/>
                <w:szCs w:val="18"/>
              </w:rPr>
              <w:t>2%</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32089AEC" w14:textId="0F382E0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61.6</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0F2C1532" w14:textId="285ECD9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84.</w:t>
            </w:r>
            <w:r w:rsidR="00163235" w:rsidRPr="007738CD">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935E141"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94.4%</w:t>
            </w:r>
          </w:p>
        </w:tc>
      </w:tr>
      <w:tr w:rsidR="007738CD" w:rsidRPr="007738CD" w14:paraId="047EB6F5"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4998AC52"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NED Fees</w:t>
            </w:r>
          </w:p>
        </w:tc>
        <w:tc>
          <w:tcPr>
            <w:tcW w:w="1134" w:type="dxa"/>
            <w:tcBorders>
              <w:top w:val="single" w:sz="4" w:space="0" w:color="auto"/>
              <w:left w:val="nil"/>
              <w:bottom w:val="single" w:sz="4" w:space="0" w:color="auto"/>
              <w:right w:val="single" w:sz="4" w:space="0" w:color="auto"/>
            </w:tcBorders>
            <w:noWrap/>
            <w:vAlign w:val="bottom"/>
          </w:tcPr>
          <w:p w14:paraId="01179059" w14:textId="4DA3DA8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88.6</w:t>
            </w:r>
            <w:r w:rsidR="00F61062" w:rsidRPr="007738CD">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noWrap/>
            <w:vAlign w:val="bottom"/>
          </w:tcPr>
          <w:p w14:paraId="00094F8C" w14:textId="50E100D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60</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noWrap/>
            <w:vAlign w:val="bottom"/>
          </w:tcPr>
          <w:p w14:paraId="003D5D98" w14:textId="2A5A8942"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78.</w:t>
            </w:r>
            <w:r w:rsidR="00163235" w:rsidRPr="007738CD">
              <w:rPr>
                <w:rFonts w:ascii="Arial" w:hAnsi="Arial" w:cs="Arial"/>
                <w:sz w:val="18"/>
                <w:szCs w:val="18"/>
              </w:rPr>
              <w:t>5%</w:t>
            </w:r>
          </w:p>
        </w:tc>
        <w:tc>
          <w:tcPr>
            <w:tcW w:w="987" w:type="dxa"/>
            <w:tcBorders>
              <w:top w:val="single" w:sz="4" w:space="0" w:color="auto"/>
              <w:left w:val="nil"/>
              <w:bottom w:val="single" w:sz="4" w:space="0" w:color="auto"/>
              <w:right w:val="nil"/>
            </w:tcBorders>
            <w:noWrap/>
            <w:vAlign w:val="bottom"/>
          </w:tcPr>
          <w:p w14:paraId="4D3C43E1" w14:textId="6F10ED9F"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74.</w:t>
            </w:r>
            <w:r w:rsidR="00163235" w:rsidRPr="007738CD">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noWrap/>
            <w:vAlign w:val="bottom"/>
          </w:tcPr>
          <w:p w14:paraId="1C04F02D"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81.5%</w:t>
            </w:r>
          </w:p>
        </w:tc>
      </w:tr>
      <w:tr w:rsidR="007738CD" w:rsidRPr="007738CD" w14:paraId="30080D08"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0C3D88DC"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Say on Pay</w:t>
            </w:r>
          </w:p>
        </w:tc>
        <w:tc>
          <w:tcPr>
            <w:tcW w:w="1134" w:type="dxa"/>
            <w:tcBorders>
              <w:top w:val="single" w:sz="4" w:space="0" w:color="auto"/>
              <w:left w:val="nil"/>
              <w:bottom w:val="single" w:sz="4" w:space="0" w:color="auto"/>
              <w:right w:val="single" w:sz="4" w:space="0" w:color="auto"/>
            </w:tcBorders>
            <w:noWrap/>
            <w:vAlign w:val="bottom"/>
          </w:tcPr>
          <w:p w14:paraId="2FB807B6" w14:textId="19F8DA2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11.1</w:t>
            </w:r>
            <w:r w:rsidR="00F61062" w:rsidRPr="007738CD">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noWrap/>
            <w:vAlign w:val="bottom"/>
          </w:tcPr>
          <w:p w14:paraId="420C95E7" w14:textId="2A482581"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0.00</w:t>
            </w:r>
          </w:p>
        </w:tc>
        <w:tc>
          <w:tcPr>
            <w:tcW w:w="1140" w:type="dxa"/>
            <w:tcBorders>
              <w:top w:val="single" w:sz="4" w:space="0" w:color="auto"/>
              <w:left w:val="single" w:sz="4" w:space="0" w:color="auto"/>
              <w:bottom w:val="single" w:sz="4" w:space="0" w:color="auto"/>
              <w:right w:val="single" w:sz="4" w:space="0" w:color="auto"/>
            </w:tcBorders>
            <w:noWrap/>
            <w:vAlign w:val="bottom"/>
          </w:tcPr>
          <w:p w14:paraId="77DF8F03" w14:textId="48441683"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w:t>
            </w:r>
            <w:r w:rsidR="00163235" w:rsidRPr="007738CD">
              <w:rPr>
                <w:rFonts w:ascii="Arial" w:hAnsi="Arial" w:cs="Arial"/>
                <w:sz w:val="18"/>
                <w:szCs w:val="18"/>
              </w:rPr>
              <w:t>6%</w:t>
            </w:r>
          </w:p>
        </w:tc>
        <w:tc>
          <w:tcPr>
            <w:tcW w:w="987" w:type="dxa"/>
            <w:tcBorders>
              <w:top w:val="single" w:sz="4" w:space="0" w:color="auto"/>
              <w:left w:val="nil"/>
              <w:bottom w:val="single" w:sz="4" w:space="0" w:color="auto"/>
              <w:right w:val="nil"/>
            </w:tcBorders>
            <w:noWrap/>
            <w:vAlign w:val="bottom"/>
          </w:tcPr>
          <w:p w14:paraId="567E6CF6" w14:textId="7202B5B0"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0.8</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bottom"/>
          </w:tcPr>
          <w:p w14:paraId="4B26F168"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1.7%</w:t>
            </w:r>
          </w:p>
        </w:tc>
      </w:tr>
      <w:tr w:rsidR="007738CD" w:rsidRPr="007738CD" w14:paraId="402EF3C0"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3FE8B51D"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lastRenderedPageBreak/>
              <w:t>Share Capital Restructuring</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5D78DEC4" w14:textId="10DA3214"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97.1</w:t>
            </w:r>
            <w:r w:rsidR="00F61062" w:rsidRPr="007738CD">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0106FF1E" w14:textId="02BB450B"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w:t>
            </w:r>
            <w:r w:rsidR="00F61062" w:rsidRPr="007738CD">
              <w:rPr>
                <w:rFonts w:ascii="Arial" w:hAnsi="Arial" w:cs="Arial"/>
                <w:sz w:val="18"/>
                <w:szCs w:val="18"/>
              </w:rPr>
              <w:t>3%</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0475C352" w14:textId="107EFCF4"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83.9</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34D2D4B7" w14:textId="5B11657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1.4</w:t>
            </w:r>
            <w:r w:rsidR="00163235" w:rsidRPr="007738C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17375119"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82.4%</w:t>
            </w:r>
          </w:p>
        </w:tc>
      </w:tr>
      <w:tr w:rsidR="007738CD" w:rsidRPr="007738CD" w14:paraId="64130E9B" w14:textId="77777777" w:rsidTr="005C1273">
        <w:trPr>
          <w:trHeight w:val="315"/>
        </w:trPr>
        <w:tc>
          <w:tcPr>
            <w:tcW w:w="3114" w:type="dxa"/>
            <w:tcBorders>
              <w:top w:val="nil"/>
              <w:left w:val="single" w:sz="4" w:space="0" w:color="auto"/>
              <w:bottom w:val="single" w:sz="4" w:space="0" w:color="auto"/>
              <w:right w:val="single" w:sz="4" w:space="0" w:color="auto"/>
            </w:tcBorders>
            <w:noWrap/>
            <w:vAlign w:val="center"/>
            <w:hideMark/>
          </w:tcPr>
          <w:p w14:paraId="6449EFC4"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Share Issue/Re-purchase</w:t>
            </w:r>
          </w:p>
        </w:tc>
        <w:tc>
          <w:tcPr>
            <w:tcW w:w="1134" w:type="dxa"/>
            <w:tcBorders>
              <w:top w:val="single" w:sz="4" w:space="0" w:color="auto"/>
              <w:left w:val="nil"/>
              <w:bottom w:val="single" w:sz="4" w:space="0" w:color="auto"/>
              <w:right w:val="single" w:sz="4" w:space="0" w:color="auto"/>
            </w:tcBorders>
            <w:noWrap/>
            <w:vAlign w:val="bottom"/>
          </w:tcPr>
          <w:p w14:paraId="038020A7" w14:textId="2BE7836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10.</w:t>
            </w:r>
            <w:r w:rsidR="00F61062" w:rsidRPr="007738CD">
              <w:rPr>
                <w:rFonts w:ascii="Arial" w:hAnsi="Arial" w:cs="Arial"/>
                <w:sz w:val="18"/>
                <w:szCs w:val="18"/>
              </w:rPr>
              <w:t>9%</w:t>
            </w:r>
          </w:p>
        </w:tc>
        <w:tc>
          <w:tcPr>
            <w:tcW w:w="1984" w:type="dxa"/>
            <w:tcBorders>
              <w:top w:val="single" w:sz="4" w:space="0" w:color="auto"/>
              <w:left w:val="single" w:sz="4" w:space="0" w:color="auto"/>
              <w:bottom w:val="single" w:sz="4" w:space="0" w:color="auto"/>
              <w:right w:val="single" w:sz="4" w:space="0" w:color="auto"/>
            </w:tcBorders>
            <w:noWrap/>
            <w:vAlign w:val="bottom"/>
          </w:tcPr>
          <w:p w14:paraId="6571501A" w14:textId="39E7490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50</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noWrap/>
            <w:vAlign w:val="bottom"/>
          </w:tcPr>
          <w:p w14:paraId="471AE071" w14:textId="5DF4EB3E"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6</w:t>
            </w:r>
            <w:r w:rsidR="00163235" w:rsidRPr="007738CD">
              <w:rPr>
                <w:rFonts w:ascii="Arial" w:hAnsi="Arial" w:cs="Arial"/>
                <w:sz w:val="18"/>
                <w:szCs w:val="18"/>
              </w:rPr>
              <w:t>4%</w:t>
            </w:r>
          </w:p>
        </w:tc>
        <w:tc>
          <w:tcPr>
            <w:tcW w:w="987" w:type="dxa"/>
            <w:tcBorders>
              <w:top w:val="single" w:sz="4" w:space="0" w:color="auto"/>
              <w:left w:val="nil"/>
              <w:bottom w:val="single" w:sz="4" w:space="0" w:color="auto"/>
              <w:right w:val="nil"/>
            </w:tcBorders>
            <w:noWrap/>
            <w:vAlign w:val="bottom"/>
          </w:tcPr>
          <w:p w14:paraId="6D213793" w14:textId="36BEDED5"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80.</w:t>
            </w:r>
            <w:r w:rsidR="00163235" w:rsidRPr="007738CD">
              <w:rPr>
                <w:rFonts w:ascii="Arial" w:hAnsi="Arial" w:cs="Arial"/>
                <w:sz w:val="18"/>
                <w:szCs w:val="18"/>
              </w:rPr>
              <w:t>7%</w:t>
            </w:r>
          </w:p>
        </w:tc>
        <w:tc>
          <w:tcPr>
            <w:tcW w:w="992" w:type="dxa"/>
            <w:tcBorders>
              <w:top w:val="single" w:sz="4" w:space="0" w:color="auto"/>
              <w:left w:val="single" w:sz="4" w:space="0" w:color="auto"/>
              <w:bottom w:val="single" w:sz="4" w:space="0" w:color="auto"/>
              <w:right w:val="single" w:sz="4" w:space="0" w:color="auto"/>
            </w:tcBorders>
            <w:noWrap/>
            <w:vAlign w:val="bottom"/>
          </w:tcPr>
          <w:p w14:paraId="2E5DEB27"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47.1%</w:t>
            </w:r>
          </w:p>
        </w:tc>
      </w:tr>
      <w:tr w:rsidR="007738CD" w:rsidRPr="007738CD" w14:paraId="62D052C5" w14:textId="77777777" w:rsidTr="005C1273">
        <w:trPr>
          <w:trHeight w:val="315"/>
        </w:trPr>
        <w:tc>
          <w:tcPr>
            <w:tcW w:w="3114" w:type="dxa"/>
            <w:tcBorders>
              <w:top w:val="nil"/>
              <w:left w:val="single" w:sz="4" w:space="0" w:color="auto"/>
              <w:bottom w:val="single" w:sz="4" w:space="0" w:color="auto"/>
              <w:right w:val="single" w:sz="4" w:space="0" w:color="auto"/>
            </w:tcBorders>
            <w:shd w:val="clear" w:color="auto" w:fill="DEEAF6"/>
            <w:noWrap/>
            <w:vAlign w:val="center"/>
            <w:hideMark/>
          </w:tcPr>
          <w:p w14:paraId="4A244F89"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Shareholder Resolution</w:t>
            </w:r>
          </w:p>
        </w:tc>
        <w:tc>
          <w:tcPr>
            <w:tcW w:w="1134" w:type="dxa"/>
            <w:tcBorders>
              <w:top w:val="single" w:sz="4" w:space="0" w:color="auto"/>
              <w:left w:val="nil"/>
              <w:bottom w:val="single" w:sz="4" w:space="0" w:color="auto"/>
              <w:right w:val="single" w:sz="4" w:space="0" w:color="auto"/>
            </w:tcBorders>
            <w:shd w:val="clear" w:color="auto" w:fill="DEEAF6"/>
            <w:noWrap/>
            <w:vAlign w:val="bottom"/>
          </w:tcPr>
          <w:p w14:paraId="6E0C24F1" w14:textId="65354D29"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12.5</w:t>
            </w:r>
            <w:r w:rsidR="00F61062" w:rsidRPr="007738CD">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62F21A26" w14:textId="1ECECCCC"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70.7</w:t>
            </w:r>
            <w:r w:rsidR="00F61062" w:rsidRPr="007738CD">
              <w:rPr>
                <w:rFonts w:ascii="Arial" w:hAnsi="Arial" w:cs="Arial"/>
                <w:sz w:val="18"/>
                <w:szCs w:val="18"/>
              </w:rPr>
              <w:t>%</w:t>
            </w:r>
          </w:p>
        </w:tc>
        <w:tc>
          <w:tcPr>
            <w:tcW w:w="1140"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CE21385" w14:textId="3D90B54D"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70</w:t>
            </w:r>
            <w:r w:rsidR="00163235" w:rsidRPr="007738CD">
              <w:rPr>
                <w:rFonts w:ascii="Arial" w:hAnsi="Arial" w:cs="Arial"/>
                <w:sz w:val="18"/>
                <w:szCs w:val="18"/>
              </w:rPr>
              <w:t>%</w:t>
            </w:r>
          </w:p>
        </w:tc>
        <w:tc>
          <w:tcPr>
            <w:tcW w:w="987" w:type="dxa"/>
            <w:tcBorders>
              <w:top w:val="single" w:sz="4" w:space="0" w:color="auto"/>
              <w:left w:val="nil"/>
              <w:bottom w:val="single" w:sz="4" w:space="0" w:color="auto"/>
              <w:right w:val="nil"/>
            </w:tcBorders>
            <w:shd w:val="clear" w:color="auto" w:fill="DEEAF6"/>
            <w:noWrap/>
            <w:vAlign w:val="bottom"/>
          </w:tcPr>
          <w:p w14:paraId="0813CEDB" w14:textId="789EBF6A"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hAnsi="Arial" w:cs="Arial"/>
                <w:sz w:val="18"/>
                <w:szCs w:val="18"/>
              </w:rPr>
              <w:t>73.</w:t>
            </w:r>
            <w:r w:rsidR="00163235" w:rsidRPr="007738CD">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AF34CA5" w14:textId="77777777" w:rsidR="00DA1442" w:rsidRPr="007738CD" w:rsidRDefault="00DA1442" w:rsidP="007738CD">
            <w:pPr>
              <w:spacing w:after="0" w:line="240" w:lineRule="auto"/>
              <w:rPr>
                <w:rFonts w:ascii="Arial" w:eastAsia="Times New Roman" w:hAnsi="Arial" w:cs="Arial"/>
                <w:kern w:val="0"/>
                <w:sz w:val="18"/>
                <w:szCs w:val="18"/>
                <w:lang w:eastAsia="en-GB"/>
                <w14:ligatures w14:val="none"/>
              </w:rPr>
            </w:pPr>
            <w:r w:rsidRPr="007738CD">
              <w:rPr>
                <w:rFonts w:ascii="Arial" w:eastAsia="Calibri" w:hAnsi="Arial" w:cs="Arial"/>
                <w:kern w:val="0"/>
                <w:sz w:val="18"/>
                <w:szCs w:val="18"/>
                <w14:ligatures w14:val="none"/>
              </w:rPr>
              <w:t>72.9%</w:t>
            </w:r>
          </w:p>
        </w:tc>
      </w:tr>
    </w:tbl>
    <w:p w14:paraId="58DCF1A1" w14:textId="7EA2E8BD" w:rsidR="00D07432" w:rsidRPr="007738CD" w:rsidRDefault="00D07432" w:rsidP="007738CD">
      <w:pPr>
        <w:spacing w:before="120" w:after="120" w:line="240" w:lineRule="auto"/>
        <w:rPr>
          <w:rFonts w:ascii="Arial" w:hAnsi="Arial" w:cs="Arial"/>
        </w:rPr>
      </w:pPr>
    </w:p>
    <w:p w14:paraId="5D4A18B6" w14:textId="7FC43ADA" w:rsidR="00203FB8" w:rsidRPr="007738CD" w:rsidRDefault="00E514D8" w:rsidP="007738CD">
      <w:pPr>
        <w:spacing w:before="120" w:after="120" w:line="240" w:lineRule="auto"/>
        <w:rPr>
          <w:rFonts w:ascii="Arial" w:hAnsi="Arial" w:cs="Arial"/>
          <w:b/>
          <w:bCs/>
        </w:rPr>
      </w:pPr>
      <w:r w:rsidRPr="007738CD">
        <w:rPr>
          <w:rFonts w:ascii="Arial" w:hAnsi="Arial" w:cs="Arial"/>
          <w:b/>
          <w:bCs/>
        </w:rPr>
        <w:t>Voting outcomes in the UK</w:t>
      </w:r>
    </w:p>
    <w:p w14:paraId="2F2E88E7" w14:textId="127E5CFE" w:rsidR="00203FB8" w:rsidRPr="007738CD" w:rsidRDefault="00122424" w:rsidP="007738CD">
      <w:pPr>
        <w:spacing w:before="120" w:after="120" w:line="240" w:lineRule="auto"/>
        <w:rPr>
          <w:rFonts w:ascii="Arial" w:hAnsi="Arial" w:cs="Arial"/>
        </w:rPr>
      </w:pPr>
      <w:r w:rsidRPr="007738CD">
        <w:rPr>
          <w:rFonts w:ascii="Arial" w:hAnsi="Arial" w:cs="Arial"/>
        </w:rPr>
        <w:t xml:space="preserve">This section of the data review </w:t>
      </w:r>
      <w:r w:rsidR="005F7C3D" w:rsidRPr="007738CD">
        <w:rPr>
          <w:rFonts w:ascii="Arial" w:hAnsi="Arial" w:cs="Arial"/>
        </w:rPr>
        <w:t xml:space="preserve">considers </w:t>
      </w:r>
      <w:r w:rsidR="00346EB0" w:rsidRPr="007738CD">
        <w:rPr>
          <w:rFonts w:ascii="Arial" w:hAnsi="Arial" w:cs="Arial"/>
        </w:rPr>
        <w:t xml:space="preserve">a few key </w:t>
      </w:r>
      <w:r w:rsidR="00846CE8" w:rsidRPr="007738CD">
        <w:rPr>
          <w:rFonts w:ascii="Arial" w:hAnsi="Arial" w:cs="Arial"/>
        </w:rPr>
        <w:t xml:space="preserve">areas for Camden and the voting outcomes specifically in the UK. </w:t>
      </w:r>
    </w:p>
    <w:p w14:paraId="2746D079" w14:textId="06787F57" w:rsidR="00203FB8" w:rsidRPr="007738CD" w:rsidRDefault="00203FB8" w:rsidP="007738CD">
      <w:pPr>
        <w:spacing w:before="120" w:after="120" w:line="240" w:lineRule="auto"/>
        <w:rPr>
          <w:rFonts w:ascii="Arial" w:hAnsi="Arial" w:cs="Arial"/>
          <w:b/>
          <w:bCs/>
        </w:rPr>
      </w:pPr>
      <w:r w:rsidRPr="007738CD">
        <w:rPr>
          <w:rFonts w:ascii="Arial" w:hAnsi="Arial" w:cs="Arial"/>
          <w:b/>
          <w:bCs/>
        </w:rPr>
        <w:t xml:space="preserve">Remuneration </w:t>
      </w:r>
    </w:p>
    <w:p w14:paraId="127444AE" w14:textId="67FFCECB" w:rsidR="00AD57FB" w:rsidRPr="007738CD" w:rsidRDefault="00974C31" w:rsidP="007738CD">
      <w:pPr>
        <w:spacing w:before="120" w:after="120" w:line="240" w:lineRule="auto"/>
        <w:rPr>
          <w:rFonts w:ascii="Arial" w:hAnsi="Arial" w:cs="Arial"/>
        </w:rPr>
      </w:pPr>
      <w:r w:rsidRPr="007738CD">
        <w:rPr>
          <w:rFonts w:ascii="Arial" w:hAnsi="Arial" w:cs="Arial"/>
        </w:rPr>
        <w:t xml:space="preserve">Remuneration is a key feature of Camden’s policy and continues to be an important </w:t>
      </w:r>
      <w:r w:rsidR="000F1FBF" w:rsidRPr="007738CD">
        <w:rPr>
          <w:rFonts w:ascii="Arial" w:hAnsi="Arial" w:cs="Arial"/>
        </w:rPr>
        <w:t xml:space="preserve">focus in the UK. </w:t>
      </w:r>
      <w:r w:rsidR="00290F3C" w:rsidRPr="007738CD">
        <w:rPr>
          <w:rFonts w:ascii="Arial" w:hAnsi="Arial" w:cs="Arial"/>
        </w:rPr>
        <w:t xml:space="preserve">In particular, this is </w:t>
      </w:r>
      <w:r w:rsidR="00421138" w:rsidRPr="007738CD">
        <w:rPr>
          <w:rFonts w:ascii="Arial" w:hAnsi="Arial" w:cs="Arial"/>
        </w:rPr>
        <w:t xml:space="preserve">set </w:t>
      </w:r>
      <w:r w:rsidR="00167E03" w:rsidRPr="007738CD">
        <w:rPr>
          <w:rFonts w:ascii="Arial" w:hAnsi="Arial" w:cs="Arial"/>
        </w:rPr>
        <w:t>against the backdrop of</w:t>
      </w:r>
      <w:r w:rsidR="00290F3C" w:rsidRPr="007738CD">
        <w:rPr>
          <w:rFonts w:ascii="Arial" w:hAnsi="Arial" w:cs="Arial"/>
        </w:rPr>
        <w:t xml:space="preserve"> a growing push among some market participants </w:t>
      </w:r>
      <w:r w:rsidR="00167E03" w:rsidRPr="007738CD">
        <w:rPr>
          <w:rFonts w:ascii="Arial" w:hAnsi="Arial" w:cs="Arial"/>
        </w:rPr>
        <w:t xml:space="preserve">in recent years </w:t>
      </w:r>
      <w:r w:rsidR="00290F3C" w:rsidRPr="007738CD">
        <w:rPr>
          <w:rFonts w:ascii="Arial" w:hAnsi="Arial" w:cs="Arial"/>
        </w:rPr>
        <w:t xml:space="preserve">for greater ‘flexibility’ on executive pay. </w:t>
      </w:r>
      <w:r w:rsidR="00421138" w:rsidRPr="007738CD">
        <w:rPr>
          <w:rFonts w:ascii="Arial" w:hAnsi="Arial" w:cs="Arial"/>
        </w:rPr>
        <w:t>However, this greater flexibility on exec</w:t>
      </w:r>
      <w:r w:rsidR="00AB0312" w:rsidRPr="007738CD">
        <w:rPr>
          <w:rFonts w:ascii="Arial" w:hAnsi="Arial" w:cs="Arial"/>
        </w:rPr>
        <w:t xml:space="preserve">utive pay will lead to excessive pay increases that </w:t>
      </w:r>
      <w:r w:rsidR="00F46321" w:rsidRPr="007738CD">
        <w:rPr>
          <w:rFonts w:ascii="Arial" w:hAnsi="Arial" w:cs="Arial"/>
        </w:rPr>
        <w:t xml:space="preserve">has an impact </w:t>
      </w:r>
      <w:r w:rsidR="00887FEB" w:rsidRPr="007738CD">
        <w:rPr>
          <w:rFonts w:ascii="Arial" w:hAnsi="Arial" w:cs="Arial"/>
        </w:rPr>
        <w:t xml:space="preserve">on pay levels </w:t>
      </w:r>
      <w:r w:rsidR="00F46321" w:rsidRPr="007738CD">
        <w:rPr>
          <w:rFonts w:ascii="Arial" w:hAnsi="Arial" w:cs="Arial"/>
        </w:rPr>
        <w:t>across the market</w:t>
      </w:r>
      <w:r w:rsidR="00887FEB" w:rsidRPr="007738CD">
        <w:rPr>
          <w:rFonts w:ascii="Arial" w:hAnsi="Arial" w:cs="Arial"/>
        </w:rPr>
        <w:t xml:space="preserve">. Further flexibility </w:t>
      </w:r>
      <w:r w:rsidR="00516A58" w:rsidRPr="007738CD">
        <w:rPr>
          <w:rFonts w:ascii="Arial" w:hAnsi="Arial" w:cs="Arial"/>
        </w:rPr>
        <w:t>risks eroding the link between pay and performance (and therefore shareholder experience) and could lead to further misalignment for executives and the wider workforce. Moreover, it also risks a return to pre-financial crash days of excessive risk taking and rewards for failure (or at least average performance). It also exposes companies to reputational threats, especially during a period of persistent cost of living pressures.</w:t>
      </w:r>
    </w:p>
    <w:p w14:paraId="1DFEF906" w14:textId="4E6628CE" w:rsidR="00516A58" w:rsidRPr="007738CD" w:rsidRDefault="009130C9" w:rsidP="007738CD">
      <w:pPr>
        <w:spacing w:before="120" w:after="120" w:line="240" w:lineRule="auto"/>
        <w:rPr>
          <w:rFonts w:ascii="Arial" w:hAnsi="Arial" w:cs="Arial"/>
        </w:rPr>
      </w:pPr>
      <w:r w:rsidRPr="007738CD">
        <w:rPr>
          <w:rFonts w:ascii="Arial" w:hAnsi="Arial" w:cs="Arial"/>
        </w:rPr>
        <w:t>Against this backdrop</w:t>
      </w:r>
      <w:r w:rsidR="00516A58" w:rsidRPr="007738CD">
        <w:rPr>
          <w:rFonts w:ascii="Arial" w:hAnsi="Arial" w:cs="Arial"/>
        </w:rPr>
        <w:t xml:space="preserve">, Camden’s </w:t>
      </w:r>
      <w:r w:rsidRPr="007738CD">
        <w:rPr>
          <w:rFonts w:ascii="Arial" w:hAnsi="Arial" w:cs="Arial"/>
        </w:rPr>
        <w:t xml:space="preserve">voting has remained resolute. </w:t>
      </w:r>
      <w:r w:rsidR="00824664" w:rsidRPr="007738CD">
        <w:rPr>
          <w:rFonts w:ascii="Arial" w:hAnsi="Arial" w:cs="Arial"/>
        </w:rPr>
        <w:t>Table 8 below demonstrates this, with</w:t>
      </w:r>
      <w:r w:rsidR="00511CFB" w:rsidRPr="007738CD">
        <w:rPr>
          <w:rFonts w:ascii="Arial" w:hAnsi="Arial" w:cs="Arial"/>
        </w:rPr>
        <w:t xml:space="preserve"> approximately</w:t>
      </w:r>
      <w:r w:rsidR="00824664" w:rsidRPr="007738CD">
        <w:rPr>
          <w:rFonts w:ascii="Arial" w:hAnsi="Arial" w:cs="Arial"/>
        </w:rPr>
        <w:t xml:space="preserve"> </w:t>
      </w:r>
      <w:r w:rsidR="000154F3" w:rsidRPr="007738CD">
        <w:rPr>
          <w:rFonts w:ascii="Arial" w:hAnsi="Arial" w:cs="Arial"/>
        </w:rPr>
        <w:t xml:space="preserve">65% of votes on the remuneration report </w:t>
      </w:r>
      <w:r w:rsidR="00511CFB" w:rsidRPr="007738CD">
        <w:rPr>
          <w:rFonts w:ascii="Arial" w:hAnsi="Arial" w:cs="Arial"/>
        </w:rPr>
        <w:t>and</w:t>
      </w:r>
      <w:r w:rsidR="003969F2" w:rsidRPr="007738CD">
        <w:rPr>
          <w:rFonts w:ascii="Arial" w:hAnsi="Arial" w:cs="Arial"/>
        </w:rPr>
        <w:t xml:space="preserve"> over 70% of votes on the remuneration policy resulting in </w:t>
      </w:r>
      <w:r w:rsidR="00E1080A" w:rsidRPr="007738CD">
        <w:rPr>
          <w:rFonts w:ascii="Arial" w:hAnsi="Arial" w:cs="Arial"/>
        </w:rPr>
        <w:t xml:space="preserve">opposition, </w:t>
      </w:r>
      <w:r w:rsidR="00F031DD" w:rsidRPr="007738CD">
        <w:rPr>
          <w:rFonts w:ascii="Arial" w:hAnsi="Arial" w:cs="Arial"/>
        </w:rPr>
        <w:t xml:space="preserve">abstention, or not being supported. </w:t>
      </w:r>
      <w:r w:rsidR="004A6A2A" w:rsidRPr="007738CD">
        <w:rPr>
          <w:rFonts w:ascii="Arial" w:hAnsi="Arial" w:cs="Arial"/>
        </w:rPr>
        <w:t xml:space="preserve">For say on pay resolutions, almost 99% of these resolutions were not supported. </w:t>
      </w:r>
    </w:p>
    <w:p w14:paraId="79D2A12E" w14:textId="09BFE170" w:rsidR="00CA3728" w:rsidRPr="007738CD" w:rsidRDefault="00D71CF7" w:rsidP="007738CD">
      <w:pPr>
        <w:spacing w:before="120" w:after="120" w:line="240" w:lineRule="auto"/>
        <w:rPr>
          <w:rFonts w:ascii="Arial" w:hAnsi="Arial" w:cs="Arial"/>
        </w:rPr>
      </w:pPr>
      <w:r w:rsidRPr="007738CD">
        <w:rPr>
          <w:rFonts w:ascii="Arial" w:hAnsi="Arial" w:cs="Arial"/>
        </w:rPr>
        <w:t xml:space="preserve">Camden’s position and subsequent voting </w:t>
      </w:r>
      <w:proofErr w:type="gramStart"/>
      <w:r w:rsidRPr="007738CD">
        <w:rPr>
          <w:rFonts w:ascii="Arial" w:hAnsi="Arial" w:cs="Arial"/>
        </w:rPr>
        <w:t>has</w:t>
      </w:r>
      <w:proofErr w:type="gramEnd"/>
      <w:r w:rsidRPr="007738CD">
        <w:rPr>
          <w:rFonts w:ascii="Arial" w:hAnsi="Arial" w:cs="Arial"/>
        </w:rPr>
        <w:t xml:space="preserve"> helped to </w:t>
      </w:r>
      <w:r w:rsidR="00DC7924" w:rsidRPr="007738CD">
        <w:rPr>
          <w:rFonts w:ascii="Arial" w:hAnsi="Arial" w:cs="Arial"/>
        </w:rPr>
        <w:t xml:space="preserve">not only </w:t>
      </w:r>
      <w:r w:rsidRPr="007738CD">
        <w:rPr>
          <w:rFonts w:ascii="Arial" w:hAnsi="Arial" w:cs="Arial"/>
        </w:rPr>
        <w:t xml:space="preserve">highlight </w:t>
      </w:r>
      <w:r w:rsidR="00DC7924" w:rsidRPr="007738CD">
        <w:rPr>
          <w:rFonts w:ascii="Arial" w:hAnsi="Arial" w:cs="Arial"/>
        </w:rPr>
        <w:t xml:space="preserve">poor remuneration </w:t>
      </w:r>
      <w:r w:rsidR="00587BED" w:rsidRPr="007738CD">
        <w:rPr>
          <w:rFonts w:ascii="Arial" w:hAnsi="Arial" w:cs="Arial"/>
        </w:rPr>
        <w:t>practices but</w:t>
      </w:r>
      <w:r w:rsidR="00DC7924" w:rsidRPr="007738CD">
        <w:rPr>
          <w:rFonts w:ascii="Arial" w:hAnsi="Arial" w:cs="Arial"/>
        </w:rPr>
        <w:t xml:space="preserve"> also put pressure on </w:t>
      </w:r>
      <w:r w:rsidR="00EB7C77" w:rsidRPr="007738CD">
        <w:rPr>
          <w:rFonts w:ascii="Arial" w:hAnsi="Arial" w:cs="Arial"/>
        </w:rPr>
        <w:t xml:space="preserve">directors and remuneration committees to consider the long-term implications of executive pay on the sustainability of the company. </w:t>
      </w:r>
    </w:p>
    <w:p w14:paraId="46BC9632" w14:textId="48B478FA" w:rsidR="00BD34A5" w:rsidRPr="007738CD" w:rsidRDefault="00BD34A5" w:rsidP="007738CD">
      <w:pPr>
        <w:spacing w:before="120" w:after="120" w:line="240" w:lineRule="auto"/>
        <w:rPr>
          <w:rFonts w:ascii="Arial" w:hAnsi="Arial" w:cs="Arial"/>
          <w:i/>
          <w:iCs/>
          <w:u w:val="single"/>
        </w:rPr>
      </w:pPr>
      <w:r w:rsidRPr="007738CD">
        <w:rPr>
          <w:rFonts w:ascii="Arial" w:hAnsi="Arial" w:cs="Arial"/>
          <w:i/>
          <w:iCs/>
          <w:u w:val="single"/>
        </w:rPr>
        <w:t xml:space="preserve">Table 8 – </w:t>
      </w:r>
      <w:r w:rsidR="00AD57FB" w:rsidRPr="007738CD">
        <w:rPr>
          <w:rFonts w:ascii="Arial" w:hAnsi="Arial" w:cs="Arial"/>
          <w:i/>
          <w:iCs/>
          <w:u w:val="single"/>
        </w:rPr>
        <w:t>Remuneration voting outcomes</w:t>
      </w:r>
      <w:r w:rsidR="003B6403" w:rsidRPr="007738CD">
        <w:rPr>
          <w:rFonts w:ascii="Arial" w:hAnsi="Arial" w:cs="Arial"/>
          <w:i/>
          <w:iCs/>
          <w:u w:val="single"/>
        </w:rPr>
        <w:t xml:space="preserve"> in the UK</w:t>
      </w:r>
    </w:p>
    <w:tbl>
      <w:tblPr>
        <w:tblW w:w="0" w:type="auto"/>
        <w:tblLook w:val="04A0" w:firstRow="1" w:lastRow="0" w:firstColumn="1" w:lastColumn="0" w:noHBand="0" w:noVBand="1"/>
      </w:tblPr>
      <w:tblGrid>
        <w:gridCol w:w="2658"/>
        <w:gridCol w:w="517"/>
        <w:gridCol w:w="2877"/>
        <w:gridCol w:w="646"/>
      </w:tblGrid>
      <w:tr w:rsidR="007738CD" w:rsidRPr="007738CD" w14:paraId="6CAA42B1" w14:textId="77777777" w:rsidTr="007738C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153D63" w:themeFill="text2" w:themeFillTint="E6"/>
            <w:vAlign w:val="bottom"/>
            <w:hideMark/>
          </w:tcPr>
          <w:p w14:paraId="62B88187" w14:textId="77777777" w:rsidR="00203FB8" w:rsidRPr="007738CD" w:rsidRDefault="00203FB8" w:rsidP="00EF7CA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Resolution</w:t>
            </w:r>
          </w:p>
        </w:tc>
        <w:tc>
          <w:tcPr>
            <w:tcW w:w="0" w:type="auto"/>
            <w:tcBorders>
              <w:top w:val="single" w:sz="4" w:space="0" w:color="auto"/>
              <w:left w:val="nil"/>
              <w:bottom w:val="single" w:sz="4" w:space="0" w:color="auto"/>
              <w:right w:val="single" w:sz="4" w:space="0" w:color="auto"/>
            </w:tcBorders>
            <w:shd w:val="clear" w:color="auto" w:fill="153D63" w:themeFill="text2" w:themeFillTint="E6"/>
            <w:vAlign w:val="bottom"/>
            <w:hideMark/>
          </w:tcPr>
          <w:p w14:paraId="5B4E147F" w14:textId="77777777" w:rsidR="00203FB8" w:rsidRPr="007738CD" w:rsidRDefault="00203FB8" w:rsidP="00EF7CA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For</w:t>
            </w:r>
          </w:p>
        </w:tc>
        <w:tc>
          <w:tcPr>
            <w:tcW w:w="0" w:type="auto"/>
            <w:tcBorders>
              <w:top w:val="single" w:sz="4" w:space="0" w:color="auto"/>
              <w:left w:val="nil"/>
              <w:bottom w:val="single" w:sz="4" w:space="0" w:color="auto"/>
              <w:right w:val="single" w:sz="4" w:space="0" w:color="auto"/>
            </w:tcBorders>
            <w:shd w:val="clear" w:color="auto" w:fill="153D63" w:themeFill="text2" w:themeFillTint="E6"/>
            <w:vAlign w:val="bottom"/>
            <w:hideMark/>
          </w:tcPr>
          <w:p w14:paraId="5D754106" w14:textId="77777777" w:rsidR="00203FB8" w:rsidRPr="007738CD" w:rsidRDefault="00203FB8" w:rsidP="00EF7CA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Oppose/abstain/ not supported</w:t>
            </w:r>
          </w:p>
        </w:tc>
        <w:tc>
          <w:tcPr>
            <w:tcW w:w="0" w:type="auto"/>
            <w:tcBorders>
              <w:top w:val="single" w:sz="4" w:space="0" w:color="auto"/>
              <w:left w:val="nil"/>
              <w:bottom w:val="single" w:sz="4" w:space="0" w:color="auto"/>
              <w:right w:val="single" w:sz="4" w:space="0" w:color="auto"/>
            </w:tcBorders>
            <w:shd w:val="clear" w:color="auto" w:fill="153D63" w:themeFill="text2" w:themeFillTint="E6"/>
            <w:vAlign w:val="bottom"/>
            <w:hideMark/>
          </w:tcPr>
          <w:p w14:paraId="764C6ACD" w14:textId="77777777" w:rsidR="00203FB8" w:rsidRPr="007738CD" w:rsidRDefault="00203FB8" w:rsidP="00EF7CAD">
            <w:pPr>
              <w:spacing w:after="0" w:line="240" w:lineRule="auto"/>
              <w:rPr>
                <w:rFonts w:ascii="Arial" w:eastAsia="Times New Roman" w:hAnsi="Arial" w:cs="Arial"/>
                <w:b/>
                <w:bCs/>
                <w:kern w:val="0"/>
                <w:sz w:val="18"/>
                <w:szCs w:val="18"/>
                <w:lang w:eastAsia="en-GB"/>
                <w14:ligatures w14:val="none"/>
              </w:rPr>
            </w:pPr>
            <w:r w:rsidRPr="007738CD">
              <w:rPr>
                <w:rFonts w:ascii="Arial" w:eastAsia="Times New Roman" w:hAnsi="Arial" w:cs="Arial"/>
                <w:b/>
                <w:bCs/>
                <w:kern w:val="0"/>
                <w:sz w:val="18"/>
                <w:szCs w:val="18"/>
                <w:lang w:eastAsia="en-GB"/>
                <w14:ligatures w14:val="none"/>
              </w:rPr>
              <w:t>Total</w:t>
            </w:r>
          </w:p>
        </w:tc>
      </w:tr>
      <w:tr w:rsidR="007738CD" w:rsidRPr="007738CD" w14:paraId="1BED4919" w14:textId="77777777" w:rsidTr="007738CD">
        <w:trPr>
          <w:trHeight w:val="201"/>
        </w:trPr>
        <w:tc>
          <w:tcPr>
            <w:tcW w:w="0" w:type="auto"/>
            <w:tcBorders>
              <w:top w:val="nil"/>
              <w:left w:val="single" w:sz="4" w:space="0" w:color="auto"/>
              <w:bottom w:val="single" w:sz="4" w:space="0" w:color="auto"/>
              <w:right w:val="single" w:sz="4" w:space="0" w:color="auto"/>
            </w:tcBorders>
            <w:vAlign w:val="bottom"/>
            <w:hideMark/>
          </w:tcPr>
          <w:p w14:paraId="5ACD62D5" w14:textId="77777777"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Approve Remuneration Report</w:t>
            </w:r>
          </w:p>
        </w:tc>
        <w:tc>
          <w:tcPr>
            <w:tcW w:w="0" w:type="auto"/>
            <w:tcBorders>
              <w:top w:val="nil"/>
              <w:left w:val="nil"/>
              <w:bottom w:val="single" w:sz="4" w:space="0" w:color="auto"/>
              <w:right w:val="single" w:sz="4" w:space="0" w:color="auto"/>
            </w:tcBorders>
            <w:vAlign w:val="bottom"/>
          </w:tcPr>
          <w:p w14:paraId="145559D3" w14:textId="13256681"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295</w:t>
            </w:r>
          </w:p>
        </w:tc>
        <w:tc>
          <w:tcPr>
            <w:tcW w:w="0" w:type="auto"/>
            <w:tcBorders>
              <w:top w:val="nil"/>
              <w:left w:val="nil"/>
              <w:bottom w:val="single" w:sz="4" w:space="0" w:color="auto"/>
              <w:right w:val="single" w:sz="4" w:space="0" w:color="auto"/>
            </w:tcBorders>
            <w:vAlign w:val="bottom"/>
          </w:tcPr>
          <w:p w14:paraId="2963C254" w14:textId="1CDA101F"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541</w:t>
            </w:r>
          </w:p>
        </w:tc>
        <w:tc>
          <w:tcPr>
            <w:tcW w:w="0" w:type="auto"/>
            <w:tcBorders>
              <w:top w:val="nil"/>
              <w:left w:val="nil"/>
              <w:bottom w:val="single" w:sz="4" w:space="0" w:color="auto"/>
              <w:right w:val="single" w:sz="4" w:space="0" w:color="auto"/>
            </w:tcBorders>
            <w:vAlign w:val="bottom"/>
          </w:tcPr>
          <w:p w14:paraId="7322DFB6" w14:textId="74A94402"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836</w:t>
            </w:r>
          </w:p>
        </w:tc>
      </w:tr>
      <w:tr w:rsidR="007738CD" w:rsidRPr="007738CD" w14:paraId="24F9F8EE" w14:textId="77777777" w:rsidTr="007738CD">
        <w:trPr>
          <w:trHeight w:val="261"/>
        </w:trPr>
        <w:tc>
          <w:tcPr>
            <w:tcW w:w="0" w:type="auto"/>
            <w:tcBorders>
              <w:top w:val="nil"/>
              <w:left w:val="single" w:sz="4" w:space="0" w:color="auto"/>
              <w:bottom w:val="single" w:sz="4" w:space="0" w:color="auto"/>
              <w:right w:val="single" w:sz="4" w:space="0" w:color="auto"/>
            </w:tcBorders>
            <w:shd w:val="clear" w:color="000000" w:fill="DAE9F8"/>
            <w:vAlign w:val="bottom"/>
            <w:hideMark/>
          </w:tcPr>
          <w:p w14:paraId="791A00D9" w14:textId="77777777"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Approve Remuneration Policy</w:t>
            </w:r>
          </w:p>
        </w:tc>
        <w:tc>
          <w:tcPr>
            <w:tcW w:w="0" w:type="auto"/>
            <w:tcBorders>
              <w:top w:val="nil"/>
              <w:left w:val="nil"/>
              <w:bottom w:val="single" w:sz="4" w:space="0" w:color="auto"/>
              <w:right w:val="single" w:sz="4" w:space="0" w:color="auto"/>
            </w:tcBorders>
            <w:shd w:val="clear" w:color="000000" w:fill="DAE9F8"/>
            <w:vAlign w:val="bottom"/>
          </w:tcPr>
          <w:p w14:paraId="759F6A95" w14:textId="1CA2FD43"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106</w:t>
            </w:r>
          </w:p>
        </w:tc>
        <w:tc>
          <w:tcPr>
            <w:tcW w:w="0" w:type="auto"/>
            <w:tcBorders>
              <w:top w:val="nil"/>
              <w:left w:val="nil"/>
              <w:bottom w:val="single" w:sz="4" w:space="0" w:color="auto"/>
              <w:right w:val="single" w:sz="4" w:space="0" w:color="auto"/>
            </w:tcBorders>
            <w:shd w:val="clear" w:color="000000" w:fill="DAE9F8"/>
            <w:vAlign w:val="bottom"/>
          </w:tcPr>
          <w:p w14:paraId="7FC8C9BD" w14:textId="33DAA29F"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259</w:t>
            </w:r>
          </w:p>
        </w:tc>
        <w:tc>
          <w:tcPr>
            <w:tcW w:w="0" w:type="auto"/>
            <w:tcBorders>
              <w:top w:val="nil"/>
              <w:left w:val="nil"/>
              <w:bottom w:val="single" w:sz="4" w:space="0" w:color="auto"/>
              <w:right w:val="single" w:sz="4" w:space="0" w:color="auto"/>
            </w:tcBorders>
            <w:shd w:val="clear" w:color="000000" w:fill="DAE9F8"/>
            <w:vAlign w:val="bottom"/>
          </w:tcPr>
          <w:p w14:paraId="54F0625A" w14:textId="659D78D7"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365</w:t>
            </w:r>
          </w:p>
        </w:tc>
      </w:tr>
      <w:tr w:rsidR="007738CD" w:rsidRPr="007738CD" w14:paraId="183F8570" w14:textId="77777777" w:rsidTr="007738CD">
        <w:trPr>
          <w:trHeight w:val="137"/>
        </w:trPr>
        <w:tc>
          <w:tcPr>
            <w:tcW w:w="0" w:type="auto"/>
            <w:tcBorders>
              <w:top w:val="nil"/>
              <w:left w:val="single" w:sz="4" w:space="0" w:color="auto"/>
              <w:bottom w:val="single" w:sz="4" w:space="0" w:color="auto"/>
              <w:right w:val="single" w:sz="4" w:space="0" w:color="auto"/>
            </w:tcBorders>
            <w:vAlign w:val="bottom"/>
            <w:hideMark/>
          </w:tcPr>
          <w:p w14:paraId="24CF7AF5" w14:textId="77777777"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Say on Pay</w:t>
            </w:r>
          </w:p>
        </w:tc>
        <w:tc>
          <w:tcPr>
            <w:tcW w:w="0" w:type="auto"/>
            <w:tcBorders>
              <w:top w:val="nil"/>
              <w:left w:val="nil"/>
              <w:bottom w:val="single" w:sz="4" w:space="0" w:color="auto"/>
              <w:right w:val="single" w:sz="4" w:space="0" w:color="auto"/>
            </w:tcBorders>
            <w:vAlign w:val="bottom"/>
          </w:tcPr>
          <w:p w14:paraId="46ACE132" w14:textId="6531AA18" w:rsidR="005C3054" w:rsidRPr="007738CD" w:rsidRDefault="005C3054" w:rsidP="00EF7CAD">
            <w:pPr>
              <w:spacing w:after="0" w:line="240" w:lineRule="auto"/>
              <w:rPr>
                <w:rFonts w:ascii="Arial" w:eastAsia="Calibri" w:hAnsi="Arial" w:cs="Arial"/>
                <w:kern w:val="0"/>
                <w:sz w:val="18"/>
                <w:szCs w:val="18"/>
                <w14:ligatures w14:val="none"/>
              </w:rPr>
            </w:pPr>
            <w:r w:rsidRPr="007738CD">
              <w:rPr>
                <w:rFonts w:ascii="Arial" w:eastAsia="Calibri" w:hAnsi="Arial" w:cs="Arial"/>
                <w:kern w:val="0"/>
                <w:sz w:val="18"/>
                <w:szCs w:val="18"/>
                <w14:ligatures w14:val="none"/>
              </w:rPr>
              <w:t>7</w:t>
            </w:r>
          </w:p>
        </w:tc>
        <w:tc>
          <w:tcPr>
            <w:tcW w:w="0" w:type="auto"/>
            <w:tcBorders>
              <w:top w:val="nil"/>
              <w:left w:val="nil"/>
              <w:bottom w:val="single" w:sz="4" w:space="0" w:color="auto"/>
              <w:right w:val="single" w:sz="4" w:space="0" w:color="auto"/>
            </w:tcBorders>
            <w:vAlign w:val="bottom"/>
          </w:tcPr>
          <w:p w14:paraId="71480CFC" w14:textId="3D573A54" w:rsidR="005C3054" w:rsidRPr="007738CD" w:rsidRDefault="005C3054" w:rsidP="00EF7CAD">
            <w:pPr>
              <w:spacing w:after="0" w:line="240" w:lineRule="auto"/>
              <w:rPr>
                <w:rFonts w:ascii="Arial" w:eastAsia="Calibri" w:hAnsi="Arial" w:cs="Arial"/>
                <w:kern w:val="0"/>
                <w:sz w:val="18"/>
                <w:szCs w:val="18"/>
                <w14:ligatures w14:val="none"/>
              </w:rPr>
            </w:pPr>
            <w:r w:rsidRPr="007738CD">
              <w:rPr>
                <w:rFonts w:ascii="Arial" w:eastAsia="Calibri" w:hAnsi="Arial" w:cs="Arial"/>
                <w:kern w:val="0"/>
                <w:sz w:val="18"/>
                <w:szCs w:val="18"/>
                <w14:ligatures w14:val="none"/>
              </w:rPr>
              <w:t>556</w:t>
            </w:r>
          </w:p>
        </w:tc>
        <w:tc>
          <w:tcPr>
            <w:tcW w:w="0" w:type="auto"/>
            <w:tcBorders>
              <w:top w:val="nil"/>
              <w:left w:val="nil"/>
              <w:bottom w:val="single" w:sz="4" w:space="0" w:color="auto"/>
              <w:right w:val="single" w:sz="4" w:space="0" w:color="auto"/>
            </w:tcBorders>
            <w:vAlign w:val="bottom"/>
          </w:tcPr>
          <w:p w14:paraId="742706DF" w14:textId="058F8252" w:rsidR="005C3054" w:rsidRPr="007738CD" w:rsidRDefault="005C3054" w:rsidP="00EF7CAD">
            <w:pPr>
              <w:spacing w:after="0" w:line="240" w:lineRule="auto"/>
              <w:rPr>
                <w:rFonts w:ascii="Arial" w:eastAsia="Times New Roman" w:hAnsi="Arial" w:cs="Arial"/>
                <w:kern w:val="0"/>
                <w:sz w:val="18"/>
                <w:szCs w:val="18"/>
                <w:lang w:eastAsia="en-GB"/>
                <w14:ligatures w14:val="none"/>
              </w:rPr>
            </w:pPr>
            <w:r w:rsidRPr="007738CD">
              <w:rPr>
                <w:rFonts w:ascii="Arial" w:eastAsia="Times New Roman" w:hAnsi="Arial" w:cs="Arial"/>
                <w:kern w:val="0"/>
                <w:sz w:val="18"/>
                <w:szCs w:val="18"/>
                <w:lang w:eastAsia="en-GB"/>
                <w14:ligatures w14:val="none"/>
              </w:rPr>
              <w:t>56</w:t>
            </w:r>
            <w:r w:rsidR="00CA3728" w:rsidRPr="007738CD">
              <w:rPr>
                <w:rFonts w:ascii="Arial" w:eastAsia="Times New Roman" w:hAnsi="Arial" w:cs="Arial"/>
                <w:kern w:val="0"/>
                <w:sz w:val="18"/>
                <w:szCs w:val="18"/>
                <w:lang w:eastAsia="en-GB"/>
                <w14:ligatures w14:val="none"/>
              </w:rPr>
              <w:t>3</w:t>
            </w:r>
          </w:p>
        </w:tc>
      </w:tr>
    </w:tbl>
    <w:p w14:paraId="57EEC6DE" w14:textId="77777777" w:rsidR="00203FB8" w:rsidRPr="007738CD" w:rsidRDefault="00203FB8" w:rsidP="007738CD">
      <w:pPr>
        <w:spacing w:before="120" w:after="120" w:line="240" w:lineRule="auto"/>
        <w:rPr>
          <w:rFonts w:ascii="Arial" w:hAnsi="Arial" w:cs="Arial"/>
          <w:b/>
          <w:bCs/>
        </w:rPr>
      </w:pPr>
    </w:p>
    <w:p w14:paraId="7E5020CA" w14:textId="77777777" w:rsidR="00203FB8" w:rsidRPr="007738CD" w:rsidRDefault="00203FB8" w:rsidP="007738CD">
      <w:pPr>
        <w:spacing w:before="120" w:after="120" w:line="240" w:lineRule="auto"/>
        <w:rPr>
          <w:rFonts w:ascii="Arial" w:hAnsi="Arial" w:cs="Arial"/>
          <w:b/>
          <w:bCs/>
        </w:rPr>
      </w:pPr>
      <w:r w:rsidRPr="007738CD">
        <w:rPr>
          <w:rFonts w:ascii="Arial" w:hAnsi="Arial" w:cs="Arial"/>
          <w:b/>
          <w:bCs/>
        </w:rPr>
        <w:t xml:space="preserve">CEO pay ratio </w:t>
      </w:r>
    </w:p>
    <w:p w14:paraId="4EA55AF4" w14:textId="172A1413" w:rsidR="00EB7C77" w:rsidRPr="007738CD" w:rsidRDefault="003B6403" w:rsidP="007738CD">
      <w:pPr>
        <w:spacing w:before="120" w:after="120" w:line="240" w:lineRule="auto"/>
        <w:rPr>
          <w:rFonts w:ascii="Arial" w:hAnsi="Arial" w:cs="Arial"/>
        </w:rPr>
      </w:pPr>
      <w:r w:rsidRPr="007738CD">
        <w:rPr>
          <w:rFonts w:ascii="Arial" w:hAnsi="Arial" w:cs="Arial"/>
        </w:rPr>
        <w:t xml:space="preserve">Another important aspect of Camden’s policy </w:t>
      </w:r>
      <w:r w:rsidR="00A444A1" w:rsidRPr="007738CD">
        <w:rPr>
          <w:rFonts w:ascii="Arial" w:hAnsi="Arial" w:cs="Arial"/>
        </w:rPr>
        <w:t xml:space="preserve">is </w:t>
      </w:r>
      <w:r w:rsidR="0089114B" w:rsidRPr="007738CD">
        <w:rPr>
          <w:rFonts w:ascii="Arial" w:hAnsi="Arial" w:cs="Arial"/>
        </w:rPr>
        <w:t xml:space="preserve">the </w:t>
      </w:r>
      <w:r w:rsidR="007D4134" w:rsidRPr="007738CD">
        <w:rPr>
          <w:rFonts w:ascii="Arial" w:hAnsi="Arial" w:cs="Arial"/>
        </w:rPr>
        <w:t xml:space="preserve">approach to CEO pay ratio. Specifically, </w:t>
      </w:r>
      <w:r w:rsidR="00816454" w:rsidRPr="007738CD">
        <w:rPr>
          <w:rFonts w:ascii="Arial" w:hAnsi="Arial" w:cs="Arial"/>
        </w:rPr>
        <w:t xml:space="preserve">the Fund assesses </w:t>
      </w:r>
      <w:r w:rsidR="00F67E8C" w:rsidRPr="007738CD">
        <w:rPr>
          <w:rFonts w:ascii="Arial" w:hAnsi="Arial" w:cs="Arial"/>
        </w:rPr>
        <w:t xml:space="preserve">whether </w:t>
      </w:r>
      <w:r w:rsidR="0015346A" w:rsidRPr="007738CD">
        <w:rPr>
          <w:rFonts w:ascii="Arial" w:hAnsi="Arial" w:cs="Arial"/>
        </w:rPr>
        <w:t xml:space="preserve">there is an acceptable ratio of CEO pay compared to the employee average </w:t>
      </w:r>
      <w:r w:rsidR="00827975" w:rsidRPr="007738CD">
        <w:rPr>
          <w:rFonts w:ascii="Arial" w:hAnsi="Arial" w:cs="Arial"/>
        </w:rPr>
        <w:t xml:space="preserve">by </w:t>
      </w:r>
      <w:r w:rsidR="00460315" w:rsidRPr="007738CD">
        <w:rPr>
          <w:rFonts w:ascii="Arial" w:hAnsi="Arial" w:cs="Arial"/>
        </w:rPr>
        <w:t xml:space="preserve">dividing </w:t>
      </w:r>
      <w:r w:rsidR="00EC5D11" w:rsidRPr="007738CD">
        <w:rPr>
          <w:rFonts w:ascii="Arial" w:hAnsi="Arial" w:cs="Arial"/>
        </w:rPr>
        <w:t>the total remuneration of the CEO, as disclosed in the company’s annual report, by the average employee pay.</w:t>
      </w:r>
      <w:r w:rsidR="00827975" w:rsidRPr="007738CD">
        <w:rPr>
          <w:rFonts w:ascii="Arial" w:hAnsi="Arial" w:cs="Arial"/>
        </w:rPr>
        <w:t xml:space="preserve"> </w:t>
      </w:r>
      <w:r w:rsidR="007D4134" w:rsidRPr="007738CD">
        <w:rPr>
          <w:rFonts w:ascii="Arial" w:hAnsi="Arial" w:cs="Arial"/>
        </w:rPr>
        <w:t>Camden will oppose the election or re-election of the chair of remuneration committee</w:t>
      </w:r>
      <w:r w:rsidR="00BE5F0E" w:rsidRPr="007738CD">
        <w:rPr>
          <w:rFonts w:ascii="Arial" w:hAnsi="Arial" w:cs="Arial"/>
        </w:rPr>
        <w:t xml:space="preserve"> where the ratio of CEO (or highest paid executive officer) to employee pay </w:t>
      </w:r>
      <w:r w:rsidR="00455914" w:rsidRPr="007738CD">
        <w:rPr>
          <w:rFonts w:ascii="Arial" w:hAnsi="Arial" w:cs="Arial"/>
        </w:rPr>
        <w:t xml:space="preserve">is greater than 40:1. </w:t>
      </w:r>
    </w:p>
    <w:p w14:paraId="1AB3BC77" w14:textId="53EE43BE" w:rsidR="00B3138C" w:rsidRPr="007738CD" w:rsidRDefault="00EC5D11" w:rsidP="007738CD">
      <w:pPr>
        <w:spacing w:before="120" w:after="120" w:line="240" w:lineRule="auto"/>
        <w:rPr>
          <w:rFonts w:ascii="Arial" w:hAnsi="Arial" w:cs="Arial"/>
        </w:rPr>
      </w:pPr>
      <w:r w:rsidRPr="007738CD">
        <w:rPr>
          <w:rFonts w:ascii="Arial" w:hAnsi="Arial" w:cs="Arial"/>
        </w:rPr>
        <w:t xml:space="preserve">For the year under review, </w:t>
      </w:r>
      <w:r w:rsidR="008C0EAA" w:rsidRPr="007738CD">
        <w:rPr>
          <w:rFonts w:ascii="Arial" w:hAnsi="Arial" w:cs="Arial"/>
        </w:rPr>
        <w:t>out of the 248 companies in the FTSE 350 (ex</w:t>
      </w:r>
      <w:r w:rsidR="00B3138C" w:rsidRPr="007738CD">
        <w:rPr>
          <w:rFonts w:ascii="Arial" w:hAnsi="Arial" w:cs="Arial"/>
        </w:rPr>
        <w:t>.</w:t>
      </w:r>
      <w:r w:rsidR="008C0EAA" w:rsidRPr="007738CD">
        <w:rPr>
          <w:rFonts w:ascii="Arial" w:hAnsi="Arial" w:cs="Arial"/>
        </w:rPr>
        <w:t xml:space="preserve"> investment trusts), </w:t>
      </w:r>
      <w:r w:rsidR="0033659D" w:rsidRPr="007738CD">
        <w:rPr>
          <w:rFonts w:ascii="Arial" w:hAnsi="Arial" w:cs="Arial"/>
        </w:rPr>
        <w:t xml:space="preserve">130 had a CEO pay ratio below 40:1. </w:t>
      </w:r>
      <w:r w:rsidR="00C03A19" w:rsidRPr="007738CD">
        <w:rPr>
          <w:rFonts w:ascii="Arial" w:hAnsi="Arial" w:cs="Arial"/>
        </w:rPr>
        <w:t>This demonstrates that many</w:t>
      </w:r>
      <w:r w:rsidR="00DD12BA" w:rsidRPr="007738CD">
        <w:rPr>
          <w:rFonts w:ascii="Arial" w:hAnsi="Arial" w:cs="Arial"/>
        </w:rPr>
        <w:t xml:space="preserve"> remuneration committee </w:t>
      </w:r>
      <w:r w:rsidR="00C03A19" w:rsidRPr="007738CD">
        <w:rPr>
          <w:rFonts w:ascii="Arial" w:hAnsi="Arial" w:cs="Arial"/>
        </w:rPr>
        <w:t>chairs</w:t>
      </w:r>
      <w:r w:rsidR="00DD12BA" w:rsidRPr="007738CD">
        <w:rPr>
          <w:rFonts w:ascii="Arial" w:hAnsi="Arial" w:cs="Arial"/>
        </w:rPr>
        <w:t xml:space="preserve"> </w:t>
      </w:r>
      <w:r w:rsidR="00C03A19" w:rsidRPr="007738CD">
        <w:rPr>
          <w:rFonts w:ascii="Arial" w:hAnsi="Arial" w:cs="Arial"/>
        </w:rPr>
        <w:t xml:space="preserve">fail to </w:t>
      </w:r>
      <w:r w:rsidR="006E7994" w:rsidRPr="007738CD">
        <w:rPr>
          <w:rFonts w:ascii="Arial" w:hAnsi="Arial" w:cs="Arial"/>
        </w:rPr>
        <w:t xml:space="preserve">adequately </w:t>
      </w:r>
      <w:r w:rsidR="00C03A19" w:rsidRPr="007738CD">
        <w:rPr>
          <w:rFonts w:ascii="Arial" w:hAnsi="Arial" w:cs="Arial"/>
        </w:rPr>
        <w:t>consider</w:t>
      </w:r>
      <w:r w:rsidR="00DD12BA" w:rsidRPr="007738CD">
        <w:rPr>
          <w:rFonts w:ascii="Arial" w:hAnsi="Arial" w:cs="Arial"/>
        </w:rPr>
        <w:t xml:space="preserve"> the wider workforce in its remuneration decisions for executives.</w:t>
      </w:r>
    </w:p>
    <w:p w14:paraId="264AF36C" w14:textId="77777777" w:rsidR="00EF7CAD" w:rsidRDefault="00EF7CAD">
      <w:pPr>
        <w:rPr>
          <w:rFonts w:ascii="Arial" w:hAnsi="Arial" w:cs="Arial"/>
          <w:b/>
          <w:bCs/>
        </w:rPr>
      </w:pPr>
      <w:r>
        <w:rPr>
          <w:rFonts w:ascii="Arial" w:hAnsi="Arial" w:cs="Arial"/>
          <w:b/>
          <w:bCs/>
        </w:rPr>
        <w:br w:type="page"/>
      </w:r>
    </w:p>
    <w:p w14:paraId="3A5939D6" w14:textId="6A3249ED" w:rsidR="007229FD" w:rsidRPr="007738CD" w:rsidRDefault="00AF1FE6" w:rsidP="007738CD">
      <w:pPr>
        <w:spacing w:before="120" w:after="120" w:line="240" w:lineRule="auto"/>
        <w:rPr>
          <w:rFonts w:ascii="Arial" w:hAnsi="Arial" w:cs="Arial"/>
          <w:b/>
          <w:bCs/>
        </w:rPr>
      </w:pPr>
      <w:r w:rsidRPr="007738CD">
        <w:rPr>
          <w:rFonts w:ascii="Arial" w:hAnsi="Arial" w:cs="Arial"/>
          <w:b/>
          <w:bCs/>
        </w:rPr>
        <w:lastRenderedPageBreak/>
        <w:t xml:space="preserve">Review of new policies </w:t>
      </w:r>
    </w:p>
    <w:p w14:paraId="04493B0A" w14:textId="51FE9E95" w:rsidR="00AF1FE6" w:rsidRPr="007738CD" w:rsidRDefault="002A632C" w:rsidP="007738CD">
      <w:pPr>
        <w:spacing w:before="120" w:after="120" w:line="240" w:lineRule="auto"/>
        <w:rPr>
          <w:rFonts w:ascii="Arial" w:hAnsi="Arial" w:cs="Arial"/>
        </w:rPr>
      </w:pPr>
      <w:r w:rsidRPr="007738CD">
        <w:rPr>
          <w:rFonts w:ascii="Arial" w:hAnsi="Arial" w:cs="Arial"/>
        </w:rPr>
        <w:t>This section of the data review considers</w:t>
      </w:r>
      <w:r w:rsidR="00262F4B" w:rsidRPr="007738CD">
        <w:rPr>
          <w:rFonts w:ascii="Arial" w:hAnsi="Arial" w:cs="Arial"/>
        </w:rPr>
        <w:t xml:space="preserve"> some of</w:t>
      </w:r>
      <w:r w:rsidRPr="007738CD">
        <w:rPr>
          <w:rFonts w:ascii="Arial" w:hAnsi="Arial" w:cs="Arial"/>
        </w:rPr>
        <w:t xml:space="preserve"> the </w:t>
      </w:r>
      <w:r w:rsidR="00DC689A" w:rsidRPr="007738CD">
        <w:rPr>
          <w:rFonts w:ascii="Arial" w:hAnsi="Arial" w:cs="Arial"/>
        </w:rPr>
        <w:t xml:space="preserve">new </w:t>
      </w:r>
      <w:r w:rsidRPr="007738CD">
        <w:rPr>
          <w:rFonts w:ascii="Arial" w:hAnsi="Arial" w:cs="Arial"/>
        </w:rPr>
        <w:t xml:space="preserve">policies Camden adopted </w:t>
      </w:r>
      <w:r w:rsidR="00DC689A" w:rsidRPr="007738CD">
        <w:rPr>
          <w:rFonts w:ascii="Arial" w:hAnsi="Arial" w:cs="Arial"/>
        </w:rPr>
        <w:t>for the 2025 proxy season, covering</w:t>
      </w:r>
      <w:r w:rsidR="001649D0" w:rsidRPr="007738CD">
        <w:rPr>
          <w:rFonts w:ascii="Arial" w:hAnsi="Arial" w:cs="Arial"/>
        </w:rPr>
        <w:t xml:space="preserve"> gender</w:t>
      </w:r>
      <w:r w:rsidR="00DC689A" w:rsidRPr="007738CD">
        <w:rPr>
          <w:rFonts w:ascii="Arial" w:hAnsi="Arial" w:cs="Arial"/>
        </w:rPr>
        <w:t xml:space="preserve"> diversity, share buyback authorities, </w:t>
      </w:r>
      <w:r w:rsidR="00262F4B" w:rsidRPr="007738CD">
        <w:rPr>
          <w:rFonts w:ascii="Arial" w:hAnsi="Arial" w:cs="Arial"/>
        </w:rPr>
        <w:t xml:space="preserve">and pre-emption rights. </w:t>
      </w:r>
    </w:p>
    <w:p w14:paraId="1823809E" w14:textId="57E4F8EB" w:rsidR="00262F4B" w:rsidRPr="007738CD" w:rsidRDefault="001649D0" w:rsidP="007738CD">
      <w:pPr>
        <w:spacing w:before="120" w:after="120" w:line="240" w:lineRule="auto"/>
        <w:rPr>
          <w:rFonts w:ascii="Arial" w:hAnsi="Arial" w:cs="Arial"/>
          <w:b/>
          <w:bCs/>
        </w:rPr>
      </w:pPr>
      <w:r w:rsidRPr="007738CD">
        <w:rPr>
          <w:rFonts w:ascii="Arial" w:hAnsi="Arial" w:cs="Arial"/>
          <w:b/>
          <w:bCs/>
        </w:rPr>
        <w:t xml:space="preserve">Gender diversity </w:t>
      </w:r>
    </w:p>
    <w:p w14:paraId="34124CBD" w14:textId="76434D06" w:rsidR="001649D0" w:rsidRPr="007738CD" w:rsidRDefault="00180D3E" w:rsidP="007738CD">
      <w:pPr>
        <w:spacing w:before="120" w:after="120" w:line="240" w:lineRule="auto"/>
        <w:rPr>
          <w:rFonts w:ascii="Arial" w:hAnsi="Arial" w:cs="Arial"/>
          <w:lang w:val="en-US"/>
        </w:rPr>
      </w:pPr>
      <w:r w:rsidRPr="007738CD">
        <w:rPr>
          <w:rFonts w:ascii="Arial" w:hAnsi="Arial" w:cs="Arial"/>
        </w:rPr>
        <w:t xml:space="preserve">In 2025, Camden adopted a policy </w:t>
      </w:r>
      <w:r w:rsidR="003008D0" w:rsidRPr="007738CD">
        <w:rPr>
          <w:rFonts w:ascii="Arial" w:hAnsi="Arial" w:cs="Arial"/>
        </w:rPr>
        <w:t xml:space="preserve">to oppose the chair of the nomination committee where </w:t>
      </w:r>
      <w:r w:rsidR="00DE322E" w:rsidRPr="007738CD">
        <w:rPr>
          <w:rFonts w:ascii="Arial" w:hAnsi="Arial" w:cs="Arial"/>
        </w:rPr>
        <w:t xml:space="preserve">the board </w:t>
      </w:r>
      <w:r w:rsidR="008E0942" w:rsidRPr="007738CD">
        <w:rPr>
          <w:rFonts w:ascii="Arial" w:hAnsi="Arial" w:cs="Arial"/>
        </w:rPr>
        <w:t xml:space="preserve">of a FTSE All-Share company </w:t>
      </w:r>
      <w:r w:rsidR="00DE322E" w:rsidRPr="007738CD">
        <w:rPr>
          <w:rFonts w:ascii="Arial" w:hAnsi="Arial" w:cs="Arial"/>
        </w:rPr>
        <w:t xml:space="preserve">did not achieve the target of having at least 40% </w:t>
      </w:r>
      <w:r w:rsidR="00840C19" w:rsidRPr="007738CD">
        <w:rPr>
          <w:rFonts w:ascii="Arial" w:hAnsi="Arial" w:cs="Arial"/>
        </w:rPr>
        <w:t xml:space="preserve">women. </w:t>
      </w:r>
      <w:r w:rsidR="00EF7E86" w:rsidRPr="007738CD">
        <w:rPr>
          <w:rFonts w:ascii="Arial" w:hAnsi="Arial" w:cs="Arial"/>
          <w:lang w:val="en-US"/>
        </w:rPr>
        <w:t>This policy builds on the progress achieved under the Hampton-Alexander Review and aligns with the FTSE Women Leaders Review 2024 recommendations and the FCA’s Listing Rules.</w:t>
      </w:r>
    </w:p>
    <w:p w14:paraId="7D1F02CB" w14:textId="2E430FFB" w:rsidR="00B92B63" w:rsidRPr="007738CD" w:rsidRDefault="00D9495D" w:rsidP="007738CD">
      <w:pPr>
        <w:spacing w:before="120" w:after="120" w:line="240" w:lineRule="auto"/>
        <w:rPr>
          <w:rFonts w:ascii="Arial" w:hAnsi="Arial" w:cs="Arial"/>
          <w:lang w:val="en-US"/>
        </w:rPr>
      </w:pPr>
      <w:r w:rsidRPr="007738CD">
        <w:rPr>
          <w:rFonts w:ascii="Arial" w:hAnsi="Arial" w:cs="Arial"/>
          <w:lang w:val="en-US"/>
        </w:rPr>
        <w:t>Out of the 528 FTSE All-Share companies within our database, almost 70% of boards achieved the target of ha</w:t>
      </w:r>
      <w:r w:rsidR="00356098" w:rsidRPr="007738CD">
        <w:rPr>
          <w:rFonts w:ascii="Arial" w:hAnsi="Arial" w:cs="Arial"/>
          <w:lang w:val="en-US"/>
        </w:rPr>
        <w:t xml:space="preserve">ving at least 40% of board positions as women. </w:t>
      </w:r>
      <w:r w:rsidR="00600633" w:rsidRPr="007738CD">
        <w:rPr>
          <w:rFonts w:ascii="Arial" w:hAnsi="Arial" w:cs="Arial"/>
          <w:lang w:val="en-US"/>
        </w:rPr>
        <w:t xml:space="preserve">For companies that did not meet this target, Camden would have voted against the chair of the nomination committee. </w:t>
      </w:r>
    </w:p>
    <w:p w14:paraId="7FEEF80A" w14:textId="78E86881" w:rsidR="00600633" w:rsidRPr="007738CD" w:rsidRDefault="001732AA" w:rsidP="007738CD">
      <w:pPr>
        <w:spacing w:before="120" w:after="120" w:line="240" w:lineRule="auto"/>
        <w:rPr>
          <w:rFonts w:ascii="Arial" w:hAnsi="Arial" w:cs="Arial"/>
          <w:lang w:val="en-US"/>
        </w:rPr>
      </w:pPr>
      <w:r w:rsidRPr="007738CD">
        <w:rPr>
          <w:rFonts w:ascii="Arial" w:hAnsi="Arial" w:cs="Arial"/>
          <w:lang w:val="en-US"/>
        </w:rPr>
        <w:t>In addition</w:t>
      </w:r>
      <w:r w:rsidR="00E649DB" w:rsidRPr="007738CD">
        <w:rPr>
          <w:rFonts w:ascii="Arial" w:hAnsi="Arial" w:cs="Arial"/>
          <w:lang w:val="en-US"/>
        </w:rPr>
        <w:t xml:space="preserve"> to this change, Camden also introduced a policy to </w:t>
      </w:r>
      <w:r w:rsidR="00D87959" w:rsidRPr="007738CD">
        <w:rPr>
          <w:rFonts w:ascii="Arial" w:hAnsi="Arial" w:cs="Arial"/>
          <w:lang w:val="en-US"/>
        </w:rPr>
        <w:t xml:space="preserve">oppose the election </w:t>
      </w:r>
      <w:r w:rsidR="00D40A0B" w:rsidRPr="007738CD">
        <w:rPr>
          <w:rFonts w:ascii="Arial" w:hAnsi="Arial" w:cs="Arial"/>
          <w:lang w:val="en-US"/>
        </w:rPr>
        <w:t>or re-election of the chair of the nomination committee for companies listed in the US &amp; Canada, Europe (ex. UK) and Australia</w:t>
      </w:r>
      <w:r w:rsidR="001E1D72" w:rsidRPr="007738CD">
        <w:rPr>
          <w:rFonts w:ascii="Arial" w:hAnsi="Arial" w:cs="Arial"/>
          <w:lang w:val="en-US"/>
        </w:rPr>
        <w:t xml:space="preserve"> that did not meet </w:t>
      </w:r>
      <w:r w:rsidR="00013978" w:rsidRPr="007738CD">
        <w:rPr>
          <w:rFonts w:ascii="Arial" w:hAnsi="Arial" w:cs="Arial"/>
          <w:lang w:val="en-US"/>
        </w:rPr>
        <w:t xml:space="preserve">a 33% threshold for women representation on the board. Camden previously applied a 25% threshold to US companies and </w:t>
      </w:r>
      <w:r w:rsidR="0019265A" w:rsidRPr="007738CD">
        <w:rPr>
          <w:rFonts w:ascii="Arial" w:hAnsi="Arial" w:cs="Arial"/>
          <w:lang w:val="en-US"/>
        </w:rPr>
        <w:t xml:space="preserve">a 20% threshold (or such higher percentage as required by local regulation) to markets globally. </w:t>
      </w:r>
      <w:r w:rsidR="00305AB0" w:rsidRPr="007738CD">
        <w:rPr>
          <w:rFonts w:ascii="Arial" w:hAnsi="Arial" w:cs="Arial"/>
          <w:lang w:val="en-US"/>
        </w:rPr>
        <w:t xml:space="preserve">This adjustment reflected growing investor expectations and </w:t>
      </w:r>
      <w:proofErr w:type="gramStart"/>
      <w:r w:rsidR="00305AB0" w:rsidRPr="007738CD">
        <w:rPr>
          <w:rFonts w:ascii="Arial" w:hAnsi="Arial" w:cs="Arial"/>
          <w:lang w:val="en-US"/>
        </w:rPr>
        <w:t>aligns</w:t>
      </w:r>
      <w:proofErr w:type="gramEnd"/>
      <w:r w:rsidR="00305AB0" w:rsidRPr="007738CD">
        <w:rPr>
          <w:rFonts w:ascii="Arial" w:hAnsi="Arial" w:cs="Arial"/>
          <w:lang w:val="en-US"/>
        </w:rPr>
        <w:t xml:space="preserve"> with broader corporate governance trends that emphasise the importance of diverse board composition.</w:t>
      </w:r>
    </w:p>
    <w:p w14:paraId="791CAF89" w14:textId="4C0EFBF8" w:rsidR="00305AB0" w:rsidRPr="007738CD" w:rsidRDefault="00932171" w:rsidP="007738CD">
      <w:pPr>
        <w:spacing w:before="120" w:after="120" w:line="240" w:lineRule="auto"/>
        <w:rPr>
          <w:rFonts w:ascii="Arial" w:hAnsi="Arial" w:cs="Arial"/>
          <w:lang w:val="en-US"/>
        </w:rPr>
      </w:pPr>
      <w:r w:rsidRPr="007738CD">
        <w:rPr>
          <w:rFonts w:ascii="Arial" w:hAnsi="Arial" w:cs="Arial"/>
          <w:lang w:val="en-US"/>
        </w:rPr>
        <w:t xml:space="preserve">For the year under review, just over </w:t>
      </w:r>
      <w:r w:rsidR="009C1D7A" w:rsidRPr="007738CD">
        <w:rPr>
          <w:rFonts w:ascii="Arial" w:hAnsi="Arial" w:cs="Arial"/>
          <w:lang w:val="en-US"/>
        </w:rPr>
        <w:t xml:space="preserve">63% of boards across these markets achieved the target of having at least 33% women on the board. For </w:t>
      </w:r>
      <w:r w:rsidR="00183C39" w:rsidRPr="007738CD">
        <w:rPr>
          <w:rFonts w:ascii="Arial" w:hAnsi="Arial" w:cs="Arial"/>
          <w:lang w:val="en-US"/>
        </w:rPr>
        <w:t xml:space="preserve">companies that did not meet this target, Camden would have voted against the chair of the nomination committee. </w:t>
      </w:r>
    </w:p>
    <w:p w14:paraId="745E7250" w14:textId="101DBD1E" w:rsidR="00183C39" w:rsidRPr="007738CD" w:rsidRDefault="00183C39" w:rsidP="007738CD">
      <w:pPr>
        <w:spacing w:before="120" w:after="120" w:line="240" w:lineRule="auto"/>
        <w:rPr>
          <w:rFonts w:ascii="Arial" w:hAnsi="Arial" w:cs="Arial"/>
          <w:b/>
          <w:bCs/>
          <w:lang w:val="en-US"/>
        </w:rPr>
      </w:pPr>
      <w:r w:rsidRPr="007738CD">
        <w:rPr>
          <w:rFonts w:ascii="Arial" w:hAnsi="Arial" w:cs="Arial"/>
          <w:b/>
          <w:bCs/>
          <w:lang w:val="en-US"/>
        </w:rPr>
        <w:t xml:space="preserve">Share </w:t>
      </w:r>
      <w:r w:rsidR="00EF7CAD" w:rsidRPr="007738CD">
        <w:rPr>
          <w:rFonts w:ascii="Arial" w:hAnsi="Arial" w:cs="Arial"/>
          <w:b/>
          <w:bCs/>
          <w:lang w:val="en-US"/>
        </w:rPr>
        <w:t>Buyback Authorities</w:t>
      </w:r>
      <w:r w:rsidRPr="007738CD">
        <w:rPr>
          <w:rFonts w:ascii="Arial" w:hAnsi="Arial" w:cs="Arial"/>
          <w:b/>
          <w:bCs/>
          <w:lang w:val="en-US"/>
        </w:rPr>
        <w:t xml:space="preserve"> </w:t>
      </w:r>
    </w:p>
    <w:p w14:paraId="565E47AF" w14:textId="106FBB6F" w:rsidR="004077B4" w:rsidRPr="007738CD" w:rsidRDefault="00592FED" w:rsidP="007738CD">
      <w:pPr>
        <w:suppressAutoHyphens/>
        <w:autoSpaceDN w:val="0"/>
        <w:spacing w:before="120" w:after="120" w:line="240" w:lineRule="auto"/>
        <w:rPr>
          <w:rFonts w:ascii="Arial" w:hAnsi="Arial" w:cs="Arial"/>
        </w:rPr>
      </w:pPr>
      <w:r w:rsidRPr="007738CD">
        <w:rPr>
          <w:rFonts w:ascii="Arial" w:hAnsi="Arial" w:cs="Arial"/>
          <w:lang w:val="en-US"/>
        </w:rPr>
        <w:t>Share b</w:t>
      </w:r>
      <w:r w:rsidR="008C2D0F" w:rsidRPr="007738CD">
        <w:rPr>
          <w:rFonts w:ascii="Arial" w:hAnsi="Arial" w:cs="Arial"/>
          <w:lang w:val="en-US"/>
        </w:rPr>
        <w:t xml:space="preserve">uybacks are </w:t>
      </w:r>
      <w:r w:rsidR="007D2EB6" w:rsidRPr="007738CD">
        <w:rPr>
          <w:rFonts w:ascii="Arial" w:hAnsi="Arial" w:cs="Arial"/>
          <w:lang w:val="en-US"/>
        </w:rPr>
        <w:t xml:space="preserve">a </w:t>
      </w:r>
      <w:r w:rsidR="00574B24" w:rsidRPr="007738CD">
        <w:rPr>
          <w:rFonts w:ascii="Arial" w:hAnsi="Arial" w:cs="Arial"/>
          <w:lang w:val="en-US"/>
        </w:rPr>
        <w:t xml:space="preserve">flexible means </w:t>
      </w:r>
      <w:r w:rsidR="007D2EB6" w:rsidRPr="007738CD">
        <w:rPr>
          <w:rFonts w:ascii="Arial" w:hAnsi="Arial" w:cs="Arial"/>
          <w:lang w:val="en-US"/>
        </w:rPr>
        <w:t xml:space="preserve">of returning capital to shareholders. </w:t>
      </w:r>
      <w:r w:rsidR="00BF0FB5" w:rsidRPr="007738CD">
        <w:rPr>
          <w:rFonts w:ascii="Arial" w:hAnsi="Arial" w:cs="Arial"/>
          <w:lang w:val="en-US"/>
        </w:rPr>
        <w:t xml:space="preserve">In 2025, Camden changed </w:t>
      </w:r>
      <w:r w:rsidR="005A203F" w:rsidRPr="007738CD">
        <w:rPr>
          <w:rFonts w:ascii="Arial" w:hAnsi="Arial" w:cs="Arial"/>
          <w:lang w:val="en-US"/>
        </w:rPr>
        <w:t>its</w:t>
      </w:r>
      <w:r w:rsidR="00BF0FB5" w:rsidRPr="007738CD">
        <w:rPr>
          <w:rFonts w:ascii="Arial" w:hAnsi="Arial" w:cs="Arial"/>
          <w:lang w:val="en-US"/>
        </w:rPr>
        <w:t xml:space="preserve"> policy on share buybacks </w:t>
      </w:r>
      <w:r w:rsidR="00D530AC" w:rsidRPr="007738CD">
        <w:rPr>
          <w:rFonts w:ascii="Arial" w:hAnsi="Arial" w:cs="Arial"/>
          <w:lang w:val="en-US"/>
        </w:rPr>
        <w:t xml:space="preserve">to having a structured policy that ensures responsible capital management while safeguarding shareholder interests rather than </w:t>
      </w:r>
      <w:r w:rsidR="00B70994" w:rsidRPr="007738CD">
        <w:rPr>
          <w:rFonts w:ascii="Arial" w:hAnsi="Arial" w:cs="Arial"/>
          <w:lang w:val="en-US"/>
        </w:rPr>
        <w:t xml:space="preserve">a </w:t>
      </w:r>
      <w:r w:rsidR="00073BA0" w:rsidRPr="007738CD">
        <w:rPr>
          <w:rFonts w:ascii="Arial" w:hAnsi="Arial" w:cs="Arial"/>
          <w:lang w:val="en-US"/>
        </w:rPr>
        <w:t xml:space="preserve">detailed </w:t>
      </w:r>
      <w:r w:rsidR="00B70994" w:rsidRPr="007738CD">
        <w:rPr>
          <w:rFonts w:ascii="Arial" w:hAnsi="Arial" w:cs="Arial"/>
          <w:lang w:val="en-US"/>
        </w:rPr>
        <w:t>outline of their benefits</w:t>
      </w:r>
      <w:r w:rsidR="005A203F" w:rsidRPr="007738CD">
        <w:rPr>
          <w:rFonts w:ascii="Arial" w:hAnsi="Arial" w:cs="Arial"/>
          <w:lang w:val="en-US"/>
        </w:rPr>
        <w:t>. Under th</w:t>
      </w:r>
      <w:r w:rsidR="00B70994" w:rsidRPr="007738CD">
        <w:rPr>
          <w:rFonts w:ascii="Arial" w:hAnsi="Arial" w:cs="Arial"/>
          <w:lang w:val="en-US"/>
        </w:rPr>
        <w:t>e new</w:t>
      </w:r>
      <w:r w:rsidR="005A203F" w:rsidRPr="007738CD">
        <w:rPr>
          <w:rFonts w:ascii="Arial" w:hAnsi="Arial" w:cs="Arial"/>
          <w:lang w:val="en-US"/>
        </w:rPr>
        <w:t xml:space="preserve"> approach, Camden oppose</w:t>
      </w:r>
      <w:r w:rsidR="00B70994" w:rsidRPr="007738CD">
        <w:rPr>
          <w:rFonts w:ascii="Arial" w:hAnsi="Arial" w:cs="Arial"/>
          <w:lang w:val="en-US"/>
        </w:rPr>
        <w:t>s</w:t>
      </w:r>
      <w:r w:rsidR="005A203F" w:rsidRPr="007738CD">
        <w:rPr>
          <w:rFonts w:ascii="Arial" w:hAnsi="Arial" w:cs="Arial"/>
          <w:lang w:val="en-US"/>
        </w:rPr>
        <w:t xml:space="preserve"> </w:t>
      </w:r>
      <w:r w:rsidR="001D535D" w:rsidRPr="007738CD">
        <w:rPr>
          <w:rFonts w:ascii="Arial" w:hAnsi="Arial" w:cs="Arial"/>
          <w:lang w:val="en-US"/>
        </w:rPr>
        <w:t xml:space="preserve">the resolution seeking authorisation for a buyback if it exceeded 10% of the company’s issued share capital, was conducted at </w:t>
      </w:r>
      <w:r w:rsidR="00EF2182" w:rsidRPr="007738CD">
        <w:rPr>
          <w:rFonts w:ascii="Arial" w:hAnsi="Arial" w:cs="Arial"/>
          <w:lang w:val="en-US"/>
        </w:rPr>
        <w:t xml:space="preserve">price greater than 5% premium to the prevailing market, or </w:t>
      </w:r>
      <w:r w:rsidR="003F4146" w:rsidRPr="007738CD">
        <w:rPr>
          <w:rFonts w:ascii="Arial" w:hAnsi="Arial" w:cs="Arial"/>
          <w:lang w:val="en-US"/>
        </w:rPr>
        <w:t xml:space="preserve">the </w:t>
      </w:r>
      <w:r w:rsidR="003F4146" w:rsidRPr="007738CD">
        <w:rPr>
          <w:rFonts w:ascii="Arial" w:hAnsi="Arial" w:cs="Arial"/>
        </w:rPr>
        <w:t>authority expired later than the recommended limit of 18 months from approval or at the next annual general meeting (whichever occurs sooner).</w:t>
      </w:r>
      <w:r w:rsidR="00733866" w:rsidRPr="007738CD">
        <w:rPr>
          <w:rFonts w:ascii="Arial" w:hAnsi="Arial" w:cs="Arial"/>
        </w:rPr>
        <w:t xml:space="preserve"> This </w:t>
      </w:r>
      <w:r w:rsidR="001103D8" w:rsidRPr="007738CD">
        <w:rPr>
          <w:rFonts w:ascii="Arial" w:hAnsi="Arial" w:cs="Arial"/>
        </w:rPr>
        <w:t xml:space="preserve">has </w:t>
      </w:r>
      <w:r w:rsidR="004077B4" w:rsidRPr="007738CD">
        <w:rPr>
          <w:rFonts w:ascii="Arial" w:hAnsi="Arial" w:cs="Arial"/>
        </w:rPr>
        <w:t>helped to ensure a more structured and consistent approach</w:t>
      </w:r>
      <w:r w:rsidR="00142527" w:rsidRPr="007738CD">
        <w:rPr>
          <w:rFonts w:ascii="Arial" w:hAnsi="Arial" w:cs="Arial"/>
        </w:rPr>
        <w:t xml:space="preserve"> and enabled support for the responsible use of buybacks</w:t>
      </w:r>
      <w:r w:rsidR="004077B4" w:rsidRPr="007738CD">
        <w:rPr>
          <w:rFonts w:ascii="Arial" w:hAnsi="Arial" w:cs="Arial"/>
        </w:rPr>
        <w:t xml:space="preserve">. </w:t>
      </w:r>
    </w:p>
    <w:p w14:paraId="6BF147FB" w14:textId="13990C5F" w:rsidR="003F4146" w:rsidRPr="007738CD" w:rsidRDefault="00154508" w:rsidP="007738CD">
      <w:pPr>
        <w:suppressAutoHyphens/>
        <w:autoSpaceDN w:val="0"/>
        <w:spacing w:before="120" w:after="120" w:line="240" w:lineRule="auto"/>
        <w:rPr>
          <w:rFonts w:ascii="Arial" w:hAnsi="Arial" w:cs="Arial"/>
        </w:rPr>
      </w:pPr>
      <w:r w:rsidRPr="007738CD">
        <w:rPr>
          <w:rFonts w:ascii="Arial" w:hAnsi="Arial" w:cs="Arial"/>
        </w:rPr>
        <w:t>F</w:t>
      </w:r>
      <w:r w:rsidR="00BA1EDA" w:rsidRPr="007738CD">
        <w:rPr>
          <w:rFonts w:ascii="Arial" w:hAnsi="Arial" w:cs="Arial"/>
        </w:rPr>
        <w:t xml:space="preserve">or the year under review, </w:t>
      </w:r>
      <w:r w:rsidR="004077B4" w:rsidRPr="007738CD">
        <w:rPr>
          <w:rFonts w:ascii="Arial" w:hAnsi="Arial" w:cs="Arial"/>
        </w:rPr>
        <w:t>the fund vot</w:t>
      </w:r>
      <w:r w:rsidR="00E72F4E" w:rsidRPr="007738CD">
        <w:rPr>
          <w:rFonts w:ascii="Arial" w:hAnsi="Arial" w:cs="Arial"/>
        </w:rPr>
        <w:t xml:space="preserve">ed in favour of approximately 48% of </w:t>
      </w:r>
      <w:r w:rsidRPr="007738CD">
        <w:rPr>
          <w:rFonts w:ascii="Arial" w:hAnsi="Arial" w:cs="Arial"/>
        </w:rPr>
        <w:t xml:space="preserve">the 811 </w:t>
      </w:r>
      <w:r w:rsidR="00BA1EDA" w:rsidRPr="007738CD">
        <w:rPr>
          <w:rFonts w:ascii="Arial" w:hAnsi="Arial" w:cs="Arial"/>
        </w:rPr>
        <w:t xml:space="preserve">share </w:t>
      </w:r>
      <w:r w:rsidR="00811A4B" w:rsidRPr="007738CD">
        <w:rPr>
          <w:rFonts w:ascii="Arial" w:hAnsi="Arial" w:cs="Arial"/>
        </w:rPr>
        <w:t>buyback authorities</w:t>
      </w:r>
      <w:r w:rsidR="00BA1EDA" w:rsidRPr="007738CD">
        <w:rPr>
          <w:rFonts w:ascii="Arial" w:hAnsi="Arial" w:cs="Arial"/>
        </w:rPr>
        <w:t xml:space="preserve">, opposing </w:t>
      </w:r>
      <w:r w:rsidRPr="007738CD">
        <w:rPr>
          <w:rFonts w:ascii="Arial" w:hAnsi="Arial" w:cs="Arial"/>
        </w:rPr>
        <w:t>the remaining 52%. This represented a shift from the 2024 season</w:t>
      </w:r>
      <w:r w:rsidR="00156FFD" w:rsidRPr="007738CD">
        <w:rPr>
          <w:rFonts w:ascii="Arial" w:hAnsi="Arial" w:cs="Arial"/>
        </w:rPr>
        <w:t xml:space="preserve"> where the fund supported just 3% of </w:t>
      </w:r>
      <w:r w:rsidR="00811A4B" w:rsidRPr="007738CD">
        <w:rPr>
          <w:rFonts w:ascii="Arial" w:hAnsi="Arial" w:cs="Arial"/>
        </w:rPr>
        <w:t xml:space="preserve">the 773 share buyback authorities. </w:t>
      </w:r>
    </w:p>
    <w:p w14:paraId="0D60E09A" w14:textId="2B74C31B" w:rsidR="00890D68" w:rsidRPr="007738CD" w:rsidRDefault="00890D68" w:rsidP="007738CD">
      <w:pPr>
        <w:suppressAutoHyphens/>
        <w:autoSpaceDN w:val="0"/>
        <w:spacing w:before="120" w:after="120" w:line="240" w:lineRule="auto"/>
        <w:rPr>
          <w:rFonts w:ascii="Arial" w:hAnsi="Arial" w:cs="Arial"/>
          <w:b/>
          <w:bCs/>
        </w:rPr>
      </w:pPr>
      <w:r w:rsidRPr="007738CD">
        <w:rPr>
          <w:rFonts w:ascii="Arial" w:hAnsi="Arial" w:cs="Arial"/>
          <w:b/>
          <w:bCs/>
        </w:rPr>
        <w:t xml:space="preserve">Disapplying pre-emption rights </w:t>
      </w:r>
    </w:p>
    <w:p w14:paraId="416F638A" w14:textId="7BD82544" w:rsidR="00890D68" w:rsidRPr="007738CD" w:rsidRDefault="00E73A36" w:rsidP="007738CD">
      <w:pPr>
        <w:suppressAutoHyphens/>
        <w:autoSpaceDN w:val="0"/>
        <w:spacing w:before="120" w:after="120" w:line="240" w:lineRule="auto"/>
        <w:rPr>
          <w:rFonts w:ascii="Arial" w:hAnsi="Arial" w:cs="Arial"/>
        </w:rPr>
      </w:pPr>
      <w:r w:rsidRPr="007738CD">
        <w:rPr>
          <w:rFonts w:ascii="Arial" w:hAnsi="Arial" w:cs="Arial"/>
        </w:rPr>
        <w:t>For the 2025 proxy season, Camden amended its policy on</w:t>
      </w:r>
      <w:r w:rsidR="00AD2F3E" w:rsidRPr="007738CD">
        <w:rPr>
          <w:rFonts w:ascii="Arial" w:hAnsi="Arial" w:cs="Arial"/>
        </w:rPr>
        <w:t xml:space="preserve"> the thresholds for the disapplication of pre-emption rights. This policy change was implemented to reflect the updated Pre-Emption Group guidel</w:t>
      </w:r>
      <w:r w:rsidR="00C2740E" w:rsidRPr="007738CD">
        <w:rPr>
          <w:rFonts w:ascii="Arial" w:hAnsi="Arial" w:cs="Arial"/>
        </w:rPr>
        <w:t>ines on disapplying pre-emption rights</w:t>
      </w:r>
      <w:r w:rsidR="00103DA3" w:rsidRPr="007738CD">
        <w:rPr>
          <w:rFonts w:ascii="Arial" w:hAnsi="Arial" w:cs="Arial"/>
        </w:rPr>
        <w:t xml:space="preserve">. Through this change, the limits were updated to allow companies to </w:t>
      </w:r>
      <w:r w:rsidR="008E6700" w:rsidRPr="007738CD">
        <w:rPr>
          <w:rFonts w:ascii="Arial" w:hAnsi="Arial" w:cs="Arial"/>
        </w:rPr>
        <w:t>disapply pre-emption rights to allow for up to 20%</w:t>
      </w:r>
      <w:r w:rsidR="001F7569" w:rsidRPr="007738CD">
        <w:rPr>
          <w:rFonts w:ascii="Arial" w:hAnsi="Arial" w:cs="Arial"/>
        </w:rPr>
        <w:t xml:space="preserve"> (</w:t>
      </w:r>
      <w:r w:rsidR="008E6700" w:rsidRPr="007738CD">
        <w:rPr>
          <w:rFonts w:ascii="Arial" w:hAnsi="Arial" w:cs="Arial"/>
        </w:rPr>
        <w:t>10% for general purposes and another 10% if in connection with an acquisition</w:t>
      </w:r>
      <w:r w:rsidR="001F7569" w:rsidRPr="007738CD">
        <w:rPr>
          <w:rFonts w:ascii="Arial" w:hAnsi="Arial" w:cs="Arial"/>
        </w:rPr>
        <w:t>)</w:t>
      </w:r>
      <w:r w:rsidR="008E6700" w:rsidRPr="007738CD">
        <w:rPr>
          <w:rFonts w:ascii="Arial" w:hAnsi="Arial" w:cs="Arial"/>
        </w:rPr>
        <w:t>.</w:t>
      </w:r>
      <w:r w:rsidR="001F7569" w:rsidRPr="007738CD">
        <w:rPr>
          <w:rFonts w:ascii="Arial" w:hAnsi="Arial" w:cs="Arial"/>
        </w:rPr>
        <w:t xml:space="preserve"> </w:t>
      </w:r>
      <w:r w:rsidR="00103DA3" w:rsidRPr="007738CD">
        <w:rPr>
          <w:rFonts w:ascii="Arial" w:hAnsi="Arial" w:cs="Arial"/>
        </w:rPr>
        <w:t xml:space="preserve">The policy provides companies with greater flexibility in capital raising while maintaining appropriate safeguards for shareholder interests. </w:t>
      </w:r>
    </w:p>
    <w:p w14:paraId="4E0469F3" w14:textId="249C2AFA" w:rsidR="0029071F" w:rsidRPr="007738CD" w:rsidRDefault="00C611B1" w:rsidP="007738CD">
      <w:pPr>
        <w:suppressAutoHyphens/>
        <w:autoSpaceDN w:val="0"/>
        <w:spacing w:before="120" w:after="120" w:line="240" w:lineRule="auto"/>
        <w:rPr>
          <w:rFonts w:ascii="Arial" w:hAnsi="Arial" w:cs="Arial"/>
        </w:rPr>
      </w:pPr>
      <w:r w:rsidRPr="007738CD">
        <w:rPr>
          <w:rFonts w:ascii="Arial" w:hAnsi="Arial" w:cs="Arial"/>
        </w:rPr>
        <w:t xml:space="preserve">In light of this change, Camden supported </w:t>
      </w:r>
      <w:r w:rsidR="0079215C" w:rsidRPr="007738CD">
        <w:rPr>
          <w:rFonts w:ascii="Arial" w:hAnsi="Arial" w:cs="Arial"/>
        </w:rPr>
        <w:t xml:space="preserve">82% of the 654 share capital issuances to disapply pre-emption rights for the year under review. This represents a shift from 2024 levels, where the Fund supported </w:t>
      </w:r>
      <w:r w:rsidR="00247042" w:rsidRPr="007738CD">
        <w:rPr>
          <w:rFonts w:ascii="Arial" w:hAnsi="Arial" w:cs="Arial"/>
        </w:rPr>
        <w:t xml:space="preserve">52%. </w:t>
      </w:r>
    </w:p>
    <w:p w14:paraId="16296D59" w14:textId="77777777" w:rsidR="0029071F" w:rsidRPr="007738CD" w:rsidRDefault="0029071F" w:rsidP="007738CD">
      <w:pPr>
        <w:spacing w:before="120" w:after="120" w:line="240" w:lineRule="auto"/>
        <w:rPr>
          <w:rFonts w:ascii="Arial" w:hAnsi="Arial" w:cs="Arial"/>
        </w:rPr>
      </w:pPr>
      <w:r w:rsidRPr="007738CD">
        <w:rPr>
          <w:rFonts w:ascii="Arial" w:hAnsi="Arial" w:cs="Arial"/>
        </w:rPr>
        <w:br w:type="page"/>
      </w:r>
    </w:p>
    <w:p w14:paraId="4D34706B"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lastRenderedPageBreak/>
        <w:t>GLOSSARY OF TERMS</w:t>
      </w:r>
    </w:p>
    <w:p w14:paraId="210E78D0" w14:textId="77777777" w:rsidR="00942B91" w:rsidRPr="007738CD" w:rsidRDefault="00942B91" w:rsidP="007738CD">
      <w:pPr>
        <w:keepNext/>
        <w:keepLines/>
        <w:spacing w:before="120" w:after="120" w:line="240" w:lineRule="auto"/>
        <w:rPr>
          <w:rFonts w:ascii="Arial" w:eastAsia="Times New Roman" w:hAnsi="Arial" w:cs="Arial"/>
          <w:b/>
          <w:bCs/>
          <w:kern w:val="0"/>
          <w14:ligatures w14:val="none"/>
        </w:rPr>
      </w:pPr>
      <w:r w:rsidRPr="007738CD">
        <w:rPr>
          <w:rFonts w:ascii="Arial" w:eastAsia="Times New Roman" w:hAnsi="Arial" w:cs="Arial"/>
          <w:b/>
          <w:bCs/>
          <w:kern w:val="0"/>
          <w14:ligatures w14:val="none"/>
        </w:rPr>
        <w:t>The UK Corporate Governance Code 2024</w:t>
      </w:r>
    </w:p>
    <w:p w14:paraId="28AD8510" w14:textId="77777777" w:rsidR="00942B91" w:rsidRPr="007738CD" w:rsidRDefault="00942B91" w:rsidP="007738CD">
      <w:pPr>
        <w:spacing w:before="120" w:after="120" w:line="240" w:lineRule="auto"/>
        <w:rPr>
          <w:rFonts w:ascii="Arial" w:eastAsia="Calibri" w:hAnsi="Arial" w:cs="Arial"/>
          <w:kern w:val="0"/>
          <w14:ligatures w14:val="none"/>
        </w:rPr>
      </w:pPr>
      <w:r w:rsidRPr="007738CD">
        <w:rPr>
          <w:rFonts w:ascii="Arial" w:eastAsia="Calibri" w:hAnsi="Arial" w:cs="Arial"/>
          <w:kern w:val="0"/>
          <w14:ligatures w14:val="none"/>
        </w:rPr>
        <w:t>The UK Corporate Governance Code (the Code) was first introduced in 1992 by the Cadbury Committee and has been periodically updated to address evolving governance expectations and challenges.</w:t>
      </w:r>
    </w:p>
    <w:p w14:paraId="794FEA26" w14:textId="7FCF56A2" w:rsidR="00942B91" w:rsidRPr="007738CD" w:rsidRDefault="00942B91" w:rsidP="007738CD">
      <w:pPr>
        <w:spacing w:before="120" w:after="120" w:line="240" w:lineRule="auto"/>
        <w:rPr>
          <w:rFonts w:ascii="Arial" w:eastAsia="Calibri" w:hAnsi="Arial" w:cs="Arial"/>
          <w:kern w:val="0"/>
          <w14:ligatures w14:val="none"/>
        </w:rPr>
      </w:pPr>
      <w:r w:rsidRPr="007738CD">
        <w:rPr>
          <w:rFonts w:ascii="Arial" w:eastAsia="Calibri" w:hAnsi="Arial" w:cs="Arial"/>
          <w:kern w:val="0"/>
          <w14:ligatures w14:val="none"/>
        </w:rPr>
        <w:t xml:space="preserve">The latest version of the Code, published in 2024 by the Financial Reporting Council (FRC), builds on earlier iterations and reflects </w:t>
      </w:r>
      <w:r w:rsidR="00321EAE" w:rsidRPr="007738CD">
        <w:rPr>
          <w:rFonts w:ascii="Arial" w:eastAsia="Calibri" w:hAnsi="Arial" w:cs="Arial"/>
          <w:kern w:val="0"/>
          <w14:ligatures w14:val="none"/>
        </w:rPr>
        <w:t xml:space="preserve">a </w:t>
      </w:r>
      <w:r w:rsidRPr="007738CD">
        <w:rPr>
          <w:rFonts w:ascii="Arial" w:eastAsia="Calibri" w:hAnsi="Arial" w:cs="Arial"/>
          <w:kern w:val="0"/>
          <w14:ligatures w14:val="none"/>
        </w:rPr>
        <w:t>growing focus on sustainability, accountability, and stakeholder engagement. The 2024 Code applies to all companies with a premium listing on the London Stock Exchange, irrespective of their country of incorporation, and is effective for accounting periods beginning on or after 1 January 2025.</w:t>
      </w:r>
    </w:p>
    <w:p w14:paraId="09D9241A" w14:textId="77777777" w:rsidR="00942B91" w:rsidRPr="007738CD" w:rsidRDefault="00942B91" w:rsidP="007738CD">
      <w:pPr>
        <w:spacing w:before="120" w:after="120" w:line="240" w:lineRule="auto"/>
        <w:rPr>
          <w:rFonts w:ascii="Arial" w:eastAsia="Calibri" w:hAnsi="Arial" w:cs="Arial"/>
          <w:kern w:val="0"/>
          <w14:ligatures w14:val="none"/>
        </w:rPr>
      </w:pPr>
      <w:r w:rsidRPr="007738CD">
        <w:rPr>
          <w:rFonts w:ascii="Arial" w:eastAsia="Calibri" w:hAnsi="Arial" w:cs="Arial"/>
          <w:kern w:val="0"/>
          <w14:ligatures w14:val="none"/>
        </w:rPr>
        <w:t>The Code continues to follow a ‘comply or explain’ approach, providing flexibility for companies to determine how best to meet its Principles and Provisions. Key changes in the 2024 update include stronger emphasis on integrating ESG considerations into governance, enhancing workforce and stakeholder engagement, aligning executive pay with non-financial performance, and improving oversight of risk and internal controls.</w:t>
      </w:r>
    </w:p>
    <w:p w14:paraId="4E6B44CF" w14:textId="77777777" w:rsidR="00942B91" w:rsidRPr="007738CD" w:rsidRDefault="00942B91" w:rsidP="007738CD">
      <w:pPr>
        <w:spacing w:before="120" w:after="120" w:line="240" w:lineRule="auto"/>
        <w:rPr>
          <w:rFonts w:ascii="Arial" w:eastAsia="Calibri" w:hAnsi="Arial" w:cs="Arial"/>
          <w:kern w:val="0"/>
          <w14:ligatures w14:val="none"/>
        </w:rPr>
      </w:pPr>
      <w:r w:rsidRPr="007738CD">
        <w:rPr>
          <w:rFonts w:ascii="Arial" w:eastAsia="Calibri" w:hAnsi="Arial" w:cs="Arial"/>
          <w:kern w:val="0"/>
          <w14:ligatures w14:val="none"/>
        </w:rPr>
        <w:t>These updates ensure the Code remains a global benchmark for best practices in corporate governance, addressing modern challenges while fostering long-term sustainable growth.</w:t>
      </w:r>
    </w:p>
    <w:p w14:paraId="7F72F68C"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Types of meetings</w:t>
      </w:r>
    </w:p>
    <w:p w14:paraId="7C42AFDD" w14:textId="6E8DFBEB"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The two most common types of meeting are types of general meetings: Annual General Meetings and Extraordinary General Meetings. In addition</w:t>
      </w:r>
      <w:r w:rsidR="006E7994" w:rsidRPr="007738CD">
        <w:rPr>
          <w:rFonts w:ascii="Arial" w:eastAsia="Calibri" w:hAnsi="Arial" w:cs="Arial"/>
          <w:kern w:val="0"/>
          <w:lang w:eastAsia="en-GB"/>
          <w14:ligatures w14:val="none"/>
        </w:rPr>
        <w:t>,</w:t>
      </w:r>
      <w:r w:rsidRPr="007738CD">
        <w:rPr>
          <w:rFonts w:ascii="Arial" w:eastAsia="Calibri" w:hAnsi="Arial" w:cs="Arial"/>
          <w:kern w:val="0"/>
          <w:lang w:eastAsia="en-GB"/>
          <w14:ligatures w14:val="none"/>
        </w:rPr>
        <w:t xml:space="preserve"> there are Class Meetings and Court Meetings. </w:t>
      </w:r>
    </w:p>
    <w:p w14:paraId="301C5792"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Class meetings may be called because some companies have more than one type of share, in such cases there is often a separate EGM for shareholders who hold that class of share.</w:t>
      </w:r>
    </w:p>
    <w:p w14:paraId="3A0308FD"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Court Meetings are called when a company needs approval from a court or is a meeting convened by a court. Court meetings are most often seen in relation to mergers and acquisitions and schemes of arrangement.</w:t>
      </w:r>
    </w:p>
    <w:p w14:paraId="45B9233A"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Annual General Meeting</w:t>
      </w:r>
    </w:p>
    <w:p w14:paraId="2C879247"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 xml:space="preserve">The usual business of an AGM is to receive the annual accounts and directors' report and, in some companies to elect directors and/or auditors. </w:t>
      </w:r>
    </w:p>
    <w:p w14:paraId="68DC1604"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 xml:space="preserve">Depending on the country of incorporation there are other mandatory proposals which shareholders may be asked to approve. </w:t>
      </w:r>
    </w:p>
    <w:p w14:paraId="2B1AA4C5" w14:textId="24E7CDE0"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For example</w:t>
      </w:r>
      <w:r w:rsidR="006E7994" w:rsidRPr="007738CD">
        <w:rPr>
          <w:rFonts w:ascii="Arial" w:eastAsia="Calibri" w:hAnsi="Arial" w:cs="Arial"/>
          <w:kern w:val="0"/>
          <w:lang w:eastAsia="en-GB"/>
          <w14:ligatures w14:val="none"/>
        </w:rPr>
        <w:t>,</w:t>
      </w:r>
      <w:r w:rsidRPr="007738CD">
        <w:rPr>
          <w:rFonts w:ascii="Arial" w:eastAsia="Calibri" w:hAnsi="Arial" w:cs="Arial"/>
          <w:kern w:val="0"/>
          <w:lang w:eastAsia="en-GB"/>
          <w14:ligatures w14:val="none"/>
        </w:rPr>
        <w:t xml:space="preserve"> in the UK shareholders </w:t>
      </w:r>
      <w:r w:rsidR="006E7994" w:rsidRPr="007738CD">
        <w:rPr>
          <w:rFonts w:ascii="Arial" w:eastAsia="Calibri" w:hAnsi="Arial" w:cs="Arial"/>
          <w:kern w:val="0"/>
          <w:lang w:eastAsia="en-GB"/>
          <w14:ligatures w14:val="none"/>
        </w:rPr>
        <w:t xml:space="preserve">are </w:t>
      </w:r>
      <w:r w:rsidRPr="007738CD">
        <w:rPr>
          <w:rFonts w:ascii="Arial" w:eastAsia="Calibri" w:hAnsi="Arial" w:cs="Arial"/>
          <w:kern w:val="0"/>
          <w:lang w:eastAsia="en-GB"/>
          <w14:ligatures w14:val="none"/>
        </w:rPr>
        <w:t xml:space="preserve">given the opportunity to approve the Directors Remuneration Report and (subject to certain caveats) shareholders </w:t>
      </w:r>
      <w:r w:rsidR="006E7994" w:rsidRPr="007738CD">
        <w:rPr>
          <w:rFonts w:ascii="Arial" w:eastAsia="Calibri" w:hAnsi="Arial" w:cs="Arial"/>
          <w:kern w:val="0"/>
          <w:lang w:eastAsia="en-GB"/>
          <w14:ligatures w14:val="none"/>
        </w:rPr>
        <w:t xml:space="preserve">are </w:t>
      </w:r>
      <w:r w:rsidRPr="007738CD">
        <w:rPr>
          <w:rFonts w:ascii="Arial" w:eastAsia="Calibri" w:hAnsi="Arial" w:cs="Arial"/>
          <w:kern w:val="0"/>
          <w:lang w:eastAsia="en-GB"/>
          <w14:ligatures w14:val="none"/>
        </w:rPr>
        <w:t>asked to approve a company’s Remuneration Policy at least once every three years.</w:t>
      </w:r>
    </w:p>
    <w:p w14:paraId="21381E5D"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Even if there is not going to be an AGM to discuss the accounts, they still have to be distributed to the shareholders or in the words of the Companies Act 2006 ‘laid before the meeting’.</w:t>
      </w:r>
    </w:p>
    <w:p w14:paraId="4E53B3B1"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Of all meetings reported to the Fund globally, 78.8% were AGMs.</w:t>
      </w:r>
    </w:p>
    <w:p w14:paraId="280E9242"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Calibri" w:hAnsi="Arial" w:cs="Arial"/>
          <w:b/>
          <w:kern w:val="0"/>
          <w:lang w:eastAsia="en-GB"/>
          <w14:ligatures w14:val="none"/>
        </w:rPr>
        <w:t>Class</w:t>
      </w:r>
      <w:r w:rsidRPr="007738CD">
        <w:rPr>
          <w:rFonts w:ascii="Arial" w:eastAsia="Times New Roman" w:hAnsi="Arial" w:cs="Arial"/>
          <w:b/>
          <w:kern w:val="0"/>
          <w14:ligatures w14:val="none"/>
        </w:rPr>
        <w:t xml:space="preserve"> Meeting</w:t>
      </w:r>
    </w:p>
    <w:p w14:paraId="520DC69E"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Class meetings are also called as special shareholders’ meeting.</w:t>
      </w:r>
    </w:p>
    <w:p w14:paraId="34B41EB9"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Such meetings are necessary when the company is required to pass a resolution which affects only a particular class of shareholders. For example, preference shares or H-shares.</w:t>
      </w:r>
    </w:p>
    <w:p w14:paraId="398EF14B"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b/>
          <w:kern w:val="0"/>
          <w:lang w:eastAsia="en-GB"/>
          <w14:ligatures w14:val="none"/>
        </w:rPr>
        <w:t>H-shares:</w:t>
      </w:r>
      <w:r w:rsidRPr="007738CD">
        <w:rPr>
          <w:rFonts w:ascii="Arial" w:eastAsia="Calibri" w:hAnsi="Arial" w:cs="Arial"/>
          <w:kern w:val="0"/>
          <w:lang w:eastAsia="en-GB"/>
          <w14:ligatures w14:val="none"/>
        </w:rPr>
        <w:t xml:space="preserve"> shares of Chinese mainland companies that are listed on the Hong Kong Stock Exchange or other foreign exchange.</w:t>
      </w:r>
    </w:p>
    <w:p w14:paraId="0F1AA964"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b/>
          <w:kern w:val="0"/>
          <w:lang w:eastAsia="en-GB"/>
          <w14:ligatures w14:val="none"/>
        </w:rPr>
        <w:lastRenderedPageBreak/>
        <w:t>Preference shares:</w:t>
      </w:r>
      <w:r w:rsidRPr="007738CD">
        <w:rPr>
          <w:rFonts w:ascii="Arial" w:eastAsia="Calibri" w:hAnsi="Arial" w:cs="Arial"/>
          <w:kern w:val="0"/>
          <w:lang w:eastAsia="en-GB"/>
          <w14:ligatures w14:val="none"/>
        </w:rPr>
        <w:t xml:space="preserve"> pay dividends before ordinary share dividends are issued. If the company enters bankruptcy, preferred shareholders are also usually entitled to be paid from company assets before ordinary shareholders.</w:t>
      </w:r>
    </w:p>
    <w:p w14:paraId="328EAD02"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Court Meeting</w:t>
      </w:r>
    </w:p>
    <w:p w14:paraId="7BE7BF61"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Court Meetings are called when a company needs approval from a court or is a meeting convened by a court. Court meetings are most often seen in relation to mergers and acquisitions and schemes of arrangement.</w:t>
      </w:r>
    </w:p>
    <w:p w14:paraId="6E32A85D" w14:textId="77777777" w:rsidR="00942B91" w:rsidRPr="007738CD" w:rsidRDefault="00942B91" w:rsidP="007738CD">
      <w:pPr>
        <w:keepNext/>
        <w:keepLines/>
        <w:spacing w:before="120" w:after="120" w:line="240" w:lineRule="auto"/>
        <w:rPr>
          <w:rFonts w:ascii="Arial" w:eastAsia="Times New Roman" w:hAnsi="Arial" w:cs="Arial"/>
          <w:b/>
          <w:bCs/>
          <w:kern w:val="0"/>
          <w14:ligatures w14:val="none"/>
        </w:rPr>
      </w:pPr>
      <w:r w:rsidRPr="007738CD">
        <w:rPr>
          <w:rFonts w:ascii="Arial" w:eastAsia="Times New Roman" w:hAnsi="Arial" w:cs="Arial"/>
          <w:b/>
          <w:bCs/>
          <w:kern w:val="0"/>
          <w14:ligatures w14:val="none"/>
        </w:rPr>
        <w:t>Extraordinary Meetings</w:t>
      </w:r>
    </w:p>
    <w:p w14:paraId="32A60BBC"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Any general meeting of the company which is not an Annual General Meeting is called Extraordinary General Meeting. An Extraordinary General Meeting is held for dealing with business which is outside the scope of the Annual General Meeting. This meeting is also held to transact some urgent business that cannot be deferred till the next Annual General Meeting.</w:t>
      </w:r>
    </w:p>
    <w:p w14:paraId="2026F835"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Voting Systems</w:t>
      </w:r>
    </w:p>
    <w:p w14:paraId="0FC4EBAF"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In most countries directors are elected via a majority vote. However, there are some notable exceptions.</w:t>
      </w:r>
    </w:p>
    <w:p w14:paraId="5825F8C3"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Plurality Vote</w:t>
      </w:r>
    </w:p>
    <w:p w14:paraId="01C05BD2" w14:textId="1BDE4BE6"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 xml:space="preserve">At U.S. public companies, shareholders elect directors by a plurality of votes cast rather than a majority of votes cast. Under plurality voting, the nominee who receives the most "for" votes for a board seat </w:t>
      </w:r>
      <w:proofErr w:type="gramStart"/>
      <w:r w:rsidRPr="007738CD">
        <w:rPr>
          <w:rFonts w:ascii="Arial" w:eastAsia="Calibri" w:hAnsi="Arial" w:cs="Arial"/>
          <w:kern w:val="0"/>
          <w:lang w:eastAsia="en-GB"/>
          <w14:ligatures w14:val="none"/>
        </w:rPr>
        <w:t>wins</w:t>
      </w:r>
      <w:proofErr w:type="gramEnd"/>
      <w:r w:rsidRPr="007738CD">
        <w:rPr>
          <w:rFonts w:ascii="Arial" w:eastAsia="Calibri" w:hAnsi="Arial" w:cs="Arial"/>
          <w:kern w:val="0"/>
          <w:lang w:eastAsia="en-GB"/>
          <w14:ligatures w14:val="none"/>
        </w:rPr>
        <w:t xml:space="preserve">. This means that in an uncontested election, a nominee will be elected even if </w:t>
      </w:r>
      <w:r w:rsidR="006E7994" w:rsidRPr="007738CD">
        <w:rPr>
          <w:rFonts w:ascii="Arial" w:eastAsia="Calibri" w:hAnsi="Arial" w:cs="Arial"/>
          <w:kern w:val="0"/>
          <w:lang w:eastAsia="en-GB"/>
          <w14:ligatures w14:val="none"/>
        </w:rPr>
        <w:t>they</w:t>
      </w:r>
      <w:r w:rsidRPr="007738CD">
        <w:rPr>
          <w:rFonts w:ascii="Arial" w:eastAsia="Calibri" w:hAnsi="Arial" w:cs="Arial"/>
          <w:kern w:val="0"/>
          <w:lang w:eastAsia="en-GB"/>
          <w14:ligatures w14:val="none"/>
        </w:rPr>
        <w:t xml:space="preserve"> receive just one "for" vote. Plurality voting in uncontested elections results in "rubber stamp" elections, entrenched boards and, at times, directors who lack the confidence of most of the shareholders.  </w:t>
      </w:r>
    </w:p>
    <w:p w14:paraId="520D5485" w14:textId="2A070ECF"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 xml:space="preserve">While the vast majority of companies in the Standard &amp; Poor’s 500 Index use the majority vote standard for uncontested board elections, </w:t>
      </w:r>
      <w:r w:rsidR="006E7994" w:rsidRPr="007738CD">
        <w:rPr>
          <w:rFonts w:ascii="Arial" w:eastAsia="Calibri" w:hAnsi="Arial" w:cs="Arial"/>
          <w:kern w:val="0"/>
          <w:lang w:eastAsia="en-GB"/>
          <w14:ligatures w14:val="none"/>
        </w:rPr>
        <w:t xml:space="preserve">many </w:t>
      </w:r>
      <w:r w:rsidRPr="007738CD">
        <w:rPr>
          <w:rFonts w:ascii="Arial" w:eastAsia="Calibri" w:hAnsi="Arial" w:cs="Arial"/>
          <w:kern w:val="0"/>
          <w:lang w:eastAsia="en-GB"/>
          <w14:ligatures w14:val="none"/>
        </w:rPr>
        <w:t>U.S. companies still use plurality voting.  Some companies that have embraced majority voting for directors still give their boards discretion to overrule shareowners and reappoint incumbent directors who fall short of majority support in uncontested elections.</w:t>
      </w:r>
    </w:p>
    <w:p w14:paraId="46F7C03B"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Dual-class or multi-class share structures</w:t>
      </w:r>
    </w:p>
    <w:p w14:paraId="0E307D53"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A significant and growing number of start-up companies are opting for dual-class or multi-class share structures with unequal voting rights. Such companies typically have a superior class of shares with more votes per share than the inferior class with only one vote per share, or, in some cases, no vote at all.</w:t>
      </w:r>
    </w:p>
    <w:p w14:paraId="6440B239"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Company founders, their families or other insiders typically hold the superior class of shares, giving them majority voting rights even when they hold minority ownership and risk. That concentrates voting power in insiders’ hands, giving them effective control of board of director elections and other matters that are put before shareowners for a vote.</w:t>
      </w:r>
    </w:p>
    <w:p w14:paraId="6B7E2E48" w14:textId="77777777" w:rsidR="00942B91" w:rsidRPr="007738CD" w:rsidRDefault="00942B91" w:rsidP="007738CD">
      <w:pPr>
        <w:spacing w:before="120" w:after="120" w:line="240" w:lineRule="auto"/>
        <w:rPr>
          <w:rFonts w:ascii="Arial" w:eastAsia="Calibri" w:hAnsi="Arial" w:cs="Arial"/>
          <w:kern w:val="0"/>
          <w:lang w:eastAsia="en-GB"/>
          <w14:ligatures w14:val="none"/>
        </w:rPr>
      </w:pPr>
      <w:proofErr w:type="gramStart"/>
      <w:r w:rsidRPr="007738CD">
        <w:rPr>
          <w:rFonts w:ascii="Arial" w:eastAsia="Calibri" w:hAnsi="Arial" w:cs="Arial"/>
          <w:kern w:val="0"/>
          <w:lang w:eastAsia="en-GB"/>
          <w14:ligatures w14:val="none"/>
        </w:rPr>
        <w:t>Dual-class</w:t>
      </w:r>
      <w:proofErr w:type="gramEnd"/>
      <w:r w:rsidRPr="007738CD">
        <w:rPr>
          <w:rFonts w:ascii="Arial" w:eastAsia="Calibri" w:hAnsi="Arial" w:cs="Arial"/>
          <w:kern w:val="0"/>
          <w:lang w:eastAsia="en-GB"/>
          <w14:ligatures w14:val="none"/>
        </w:rPr>
        <w:t xml:space="preserve"> share structures pose greater risks to investors and make boards and insiders less accountable to the shareholders. Companies with a dual-class stock structure often do not perform as well as companies with a single class of stock and have more stock-price volatility, a recent study found.</w:t>
      </w:r>
    </w:p>
    <w:p w14:paraId="58677653"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Cumulative voting</w:t>
      </w:r>
    </w:p>
    <w:p w14:paraId="0DC23CB6"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Cumulative voting is a voting process that allows a shareowner to concentrate or ‘pool’ their votes for a single candidate rather than spreading votes evenly across all candidates. The number of votes that can be ‘pooled’ is the number of shares held, multiplied by the number of candidates standing for election.</w:t>
      </w:r>
    </w:p>
    <w:p w14:paraId="5EF64F31"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lastRenderedPageBreak/>
        <w:t>The argument in favour is that it can maximise the ability of minority shareowners to ensure representation of their views on the board.</w:t>
      </w:r>
    </w:p>
    <w:p w14:paraId="4BBCDF20" w14:textId="6E6C60CC"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Proponents of Cumulative voting argue that it acts as a safeguard against entrenchment of the board</w:t>
      </w:r>
      <w:r w:rsidR="008838BD" w:rsidRPr="007738CD">
        <w:rPr>
          <w:rFonts w:ascii="Arial" w:eastAsia="Calibri" w:hAnsi="Arial" w:cs="Arial"/>
          <w:kern w:val="0"/>
          <w:lang w:eastAsia="en-GB"/>
          <w14:ligatures w14:val="none"/>
        </w:rPr>
        <w:t>,</w:t>
      </w:r>
      <w:r w:rsidRPr="007738CD">
        <w:rPr>
          <w:rFonts w:ascii="Arial" w:eastAsia="Calibri" w:hAnsi="Arial" w:cs="Arial"/>
          <w:kern w:val="0"/>
          <w:lang w:eastAsia="en-GB"/>
          <w14:ligatures w14:val="none"/>
        </w:rPr>
        <w:t xml:space="preserve"> which arises when the plurality system is used, by ensuring that minority shareowners who are the beneficial owners of a sizeable holding of shares are able to elect a candidate of their choosing to the board.</w:t>
      </w:r>
    </w:p>
    <w:p w14:paraId="599D1BC3"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Voting Outcomes</w:t>
      </w:r>
    </w:p>
    <w:p w14:paraId="36E8DBEF"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Most resolutions put to shareholders are passed by a majority of the shares voting or present at the meeting, shareholders are usually given the choice to vote shares "for" or "against" a proposal, or to "abstain" from voting on it.</w:t>
      </w:r>
    </w:p>
    <w:p w14:paraId="20D7FD54"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For</w:t>
      </w:r>
    </w:p>
    <w:p w14:paraId="38F2B0CA"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All jurisdictions allow shareholders to vote in favour, or ‘for’ resolutions put to them at a General Meeting.</w:t>
      </w:r>
    </w:p>
    <w:p w14:paraId="0F8E7525"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Against or Oppose</w:t>
      </w:r>
    </w:p>
    <w:p w14:paraId="564A9481"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Most jurisdictions, but by no means all, allow shareholders to vote against a resolution put to them at a General Meeting.</w:t>
      </w:r>
    </w:p>
    <w:p w14:paraId="7B029817"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 xml:space="preserve">In the United States, on resolutions for the election of directors it is still common for there to be only two voting options: either a vote ‘for’ or a shareholder can ‘withhold’ their votes. </w:t>
      </w:r>
    </w:p>
    <w:p w14:paraId="47DBC69C"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Withhold</w:t>
      </w:r>
    </w:p>
    <w:p w14:paraId="4014CA94" w14:textId="07752A29"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At some US and Canadian companies, shareholders can only vote ‘for’ the election of a director or they can ‘withhold’ their vote.</w:t>
      </w:r>
    </w:p>
    <w:p w14:paraId="0A1CC852"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Abstain</w:t>
      </w:r>
    </w:p>
    <w:p w14:paraId="0FC94116"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In some jurisdictions, where shareholders wish neither to vote ‘for’ nor to ‘oppose’ a resolution, they may instead choose to abstain.</w:t>
      </w:r>
    </w:p>
    <w:p w14:paraId="4AF1606F"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Shareholders can use an abstain vote as a way of expressing dissatisfaction without obstructing a resolution or impeding the company’s ability to run its core business. This may be desired when expressing dissatisfaction on a proposed dividend or, in the case of an investment trust, a vote on the continuation of the company.</w:t>
      </w:r>
    </w:p>
    <w:p w14:paraId="02AC30E1"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Decisions to change the company name or amend the company articles of association require a special resolution, in the UK this requires at least 75% of the votes cast to be in favour in order to pass. In instances like this, a vote to abstain can effectively be a vote ‘against’, especially if it is a large shareholder which does so.</w:t>
      </w:r>
    </w:p>
    <w:p w14:paraId="67811E23"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Not all jurisdictions allow shareholders to ‘abstain’ on a resolution. Two prominent examples are Australia and Hong Kong where votes to ‘abstain’ are counted as votes ‘against’.</w:t>
      </w:r>
    </w:p>
    <w:p w14:paraId="1AB434C9"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Withdrawn</w:t>
      </w:r>
    </w:p>
    <w:p w14:paraId="246184CD" w14:textId="7E5308CC" w:rsidR="00942B91" w:rsidRPr="007738CD" w:rsidRDefault="00406AA0"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Withdrawn r</w:t>
      </w:r>
      <w:r w:rsidR="00942B91" w:rsidRPr="007738CD">
        <w:rPr>
          <w:rFonts w:ascii="Arial" w:eastAsia="Calibri" w:hAnsi="Arial" w:cs="Arial"/>
          <w:kern w:val="0"/>
          <w:lang w:eastAsia="en-GB"/>
          <w14:ligatures w14:val="none"/>
        </w:rPr>
        <w:t xml:space="preserve">efers to when a </w:t>
      </w:r>
      <w:proofErr w:type="gramStart"/>
      <w:r w:rsidR="00942B91" w:rsidRPr="007738CD">
        <w:rPr>
          <w:rFonts w:ascii="Arial" w:eastAsia="Calibri" w:hAnsi="Arial" w:cs="Arial"/>
          <w:kern w:val="0"/>
          <w:lang w:eastAsia="en-GB"/>
          <w14:ligatures w14:val="none"/>
        </w:rPr>
        <w:t>Director</w:t>
      </w:r>
      <w:proofErr w:type="gramEnd"/>
      <w:r w:rsidR="00942B91" w:rsidRPr="007738CD">
        <w:rPr>
          <w:rFonts w:ascii="Arial" w:eastAsia="Calibri" w:hAnsi="Arial" w:cs="Arial"/>
          <w:kern w:val="0"/>
          <w:lang w:eastAsia="en-GB"/>
          <w14:ligatures w14:val="none"/>
        </w:rPr>
        <w:t xml:space="preserve"> has withdrawn from standing for election or a resolution has been withdrawn by the company after publication of the meeting notice.</w:t>
      </w:r>
    </w:p>
    <w:p w14:paraId="780011E2"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Non-Voting</w:t>
      </w:r>
    </w:p>
    <w:p w14:paraId="647997F9" w14:textId="77777777"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An agenda item that is not subject to a vote.</w:t>
      </w:r>
    </w:p>
    <w:p w14:paraId="43AA764D" w14:textId="77777777"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t>US Frequency Vote on Pay</w:t>
      </w:r>
    </w:p>
    <w:p w14:paraId="1F5A53B8" w14:textId="17E378E3" w:rsidR="00942B91" w:rsidRPr="007738CD" w:rsidRDefault="00942B91" w:rsidP="007738CD">
      <w:pPr>
        <w:spacing w:before="120" w:after="120" w:line="240" w:lineRule="auto"/>
        <w:rPr>
          <w:rFonts w:ascii="Arial" w:eastAsia="Calibri" w:hAnsi="Arial" w:cs="Arial"/>
          <w:kern w:val="0"/>
          <w:lang w:eastAsia="en-GB"/>
          <w14:ligatures w14:val="none"/>
        </w:rPr>
      </w:pPr>
      <w:r w:rsidRPr="007738CD">
        <w:rPr>
          <w:rFonts w:ascii="Arial" w:eastAsia="Calibri" w:hAnsi="Arial" w:cs="Arial"/>
          <w:kern w:val="0"/>
          <w:lang w:eastAsia="en-GB"/>
          <w14:ligatures w14:val="none"/>
        </w:rPr>
        <w:t>US companies vote on how often the vote on executive compensation should occur. Every 1, 2 or 3 years.</w:t>
      </w:r>
    </w:p>
    <w:p w14:paraId="2564ACA1" w14:textId="77777777" w:rsidR="00EF7CAD" w:rsidRDefault="00EF7CAD">
      <w:pPr>
        <w:rPr>
          <w:rFonts w:ascii="Arial" w:eastAsia="Times New Roman" w:hAnsi="Arial" w:cs="Arial"/>
          <w:b/>
          <w:kern w:val="0"/>
          <w14:ligatures w14:val="none"/>
        </w:rPr>
      </w:pPr>
      <w:r>
        <w:rPr>
          <w:rFonts w:ascii="Arial" w:eastAsia="Times New Roman" w:hAnsi="Arial" w:cs="Arial"/>
          <w:b/>
          <w:kern w:val="0"/>
          <w14:ligatures w14:val="none"/>
        </w:rPr>
        <w:br w:type="page"/>
      </w:r>
    </w:p>
    <w:p w14:paraId="674A8286" w14:textId="0CA15C75" w:rsidR="00942B91" w:rsidRPr="007738CD" w:rsidRDefault="00942B91" w:rsidP="007738CD">
      <w:pPr>
        <w:keepNext/>
        <w:keepLines/>
        <w:spacing w:before="120" w:after="120" w:line="240" w:lineRule="auto"/>
        <w:rPr>
          <w:rFonts w:ascii="Arial" w:eastAsia="Times New Roman" w:hAnsi="Arial" w:cs="Arial"/>
          <w:b/>
          <w:kern w:val="0"/>
          <w14:ligatures w14:val="none"/>
        </w:rPr>
      </w:pPr>
      <w:r w:rsidRPr="007738CD">
        <w:rPr>
          <w:rFonts w:ascii="Arial" w:eastAsia="Times New Roman" w:hAnsi="Arial" w:cs="Arial"/>
          <w:b/>
          <w:kern w:val="0"/>
          <w14:ligatures w14:val="none"/>
        </w:rPr>
        <w:lastRenderedPageBreak/>
        <w:t>Not Supported / Clear</w:t>
      </w:r>
    </w:p>
    <w:p w14:paraId="06CE2582" w14:textId="46EB98A5" w:rsidR="00262F4B" w:rsidRPr="007738CD" w:rsidRDefault="00942B91" w:rsidP="007738CD">
      <w:pPr>
        <w:spacing w:before="120" w:after="120" w:line="240" w:lineRule="auto"/>
        <w:rPr>
          <w:rFonts w:ascii="Arial" w:hAnsi="Arial" w:cs="Arial"/>
        </w:rPr>
      </w:pPr>
      <w:r w:rsidRPr="007738CD">
        <w:rPr>
          <w:rFonts w:ascii="Arial" w:eastAsia="Calibri" w:hAnsi="Arial" w:cs="Arial"/>
          <w:kern w:val="0"/>
          <w:lang w:eastAsia="en-GB"/>
          <w14:ligatures w14:val="none"/>
        </w:rPr>
        <w:t>Can be used as a synonym for withheld, w</w:t>
      </w:r>
      <w:r w:rsidR="00406AA0" w:rsidRPr="007738CD">
        <w:rPr>
          <w:rFonts w:ascii="Arial" w:eastAsia="Calibri" w:hAnsi="Arial" w:cs="Arial"/>
          <w:kern w:val="0"/>
          <w:lang w:eastAsia="en-GB"/>
          <w14:ligatures w14:val="none"/>
        </w:rPr>
        <w:t>h</w:t>
      </w:r>
      <w:r w:rsidRPr="007738CD">
        <w:rPr>
          <w:rFonts w:ascii="Arial" w:eastAsia="Calibri" w:hAnsi="Arial" w:cs="Arial"/>
          <w:kern w:val="0"/>
          <w:lang w:eastAsia="en-GB"/>
          <w14:ligatures w14:val="none"/>
        </w:rPr>
        <w:t>ere oppose is not an option on the ballot, it is usually used to distinguish from the North American system, whereby stockowners ‘withhold’ their vote rather than oppose or vote against.</w:t>
      </w:r>
    </w:p>
    <w:sectPr w:rsidR="00262F4B" w:rsidRPr="007738CD" w:rsidSect="00181195">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3C79" w14:textId="77777777" w:rsidR="00B32A19" w:rsidRDefault="00B32A19" w:rsidP="00181195">
      <w:pPr>
        <w:spacing w:after="0" w:line="240" w:lineRule="auto"/>
      </w:pPr>
      <w:r>
        <w:separator/>
      </w:r>
    </w:p>
  </w:endnote>
  <w:endnote w:type="continuationSeparator" w:id="0">
    <w:p w14:paraId="4C52AAA4" w14:textId="77777777" w:rsidR="00B32A19" w:rsidRDefault="00B32A19" w:rsidP="0018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5EE4" w14:textId="77777777" w:rsidR="00181195" w:rsidRDefault="00181195" w:rsidP="00181195">
    <w:pPr>
      <w:pStyle w:val="Footer"/>
      <w:jc w:val="right"/>
    </w:pPr>
    <w:r>
      <w:t>London Borough of Camden Corporate Governance Annual Review 2025</w:t>
    </w:r>
  </w:p>
  <w:p w14:paraId="1FA0C407" w14:textId="77777777" w:rsidR="00181195" w:rsidRDefault="00181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0D7E" w14:textId="77777777" w:rsidR="00B32A19" w:rsidRDefault="00B32A19" w:rsidP="00181195">
      <w:pPr>
        <w:spacing w:after="0" w:line="240" w:lineRule="auto"/>
      </w:pPr>
      <w:r>
        <w:separator/>
      </w:r>
    </w:p>
  </w:footnote>
  <w:footnote w:type="continuationSeparator" w:id="0">
    <w:p w14:paraId="293F45C3" w14:textId="77777777" w:rsidR="00B32A19" w:rsidRDefault="00B32A19" w:rsidP="00181195">
      <w:pPr>
        <w:spacing w:after="0" w:line="240" w:lineRule="auto"/>
      </w:pPr>
      <w:r>
        <w:continuationSeparator/>
      </w:r>
    </w:p>
  </w:footnote>
  <w:footnote w:id="1">
    <w:p w14:paraId="239DB1CA" w14:textId="15A70F3C" w:rsidR="0042021E" w:rsidRDefault="0042021E">
      <w:pPr>
        <w:pStyle w:val="FootnoteText"/>
      </w:pPr>
      <w:r>
        <w:rPr>
          <w:rStyle w:val="FootnoteReference"/>
        </w:rPr>
        <w:footnoteRef/>
      </w:r>
      <w:r>
        <w:t xml:space="preserve"> </w:t>
      </w:r>
      <w:r w:rsidR="007626F7" w:rsidRPr="007626F7">
        <w:t>An Extraordinary General Meeting is held for dealing with business outside the scope of the Annual General Meeting, including urgent business.</w:t>
      </w:r>
    </w:p>
  </w:footnote>
  <w:footnote w:id="2">
    <w:p w14:paraId="436161D3" w14:textId="3370D197" w:rsidR="007626F7" w:rsidRDefault="007626F7">
      <w:pPr>
        <w:pStyle w:val="FootnoteText"/>
      </w:pPr>
      <w:r>
        <w:rPr>
          <w:rStyle w:val="FootnoteReference"/>
        </w:rPr>
        <w:footnoteRef/>
      </w:r>
      <w:r>
        <w:t xml:space="preserve"> </w:t>
      </w:r>
      <w:r w:rsidR="00205719">
        <w:t>Court Meetings are called when a company needs approval from a court or is a meeting convened by a court.</w:t>
      </w:r>
    </w:p>
  </w:footnote>
  <w:footnote w:id="3">
    <w:p w14:paraId="27B5BA1B" w14:textId="33CEEAE4" w:rsidR="00205719" w:rsidRDefault="00205719">
      <w:pPr>
        <w:pStyle w:val="FootnoteText"/>
      </w:pPr>
      <w:r>
        <w:rPr>
          <w:rStyle w:val="FootnoteReference"/>
        </w:rPr>
        <w:footnoteRef/>
      </w:r>
      <w:r>
        <w:t xml:space="preserve"> </w:t>
      </w:r>
      <w:r w:rsidR="00CE2FFA">
        <w:t xml:space="preserve">Class meetings may be called because some companies have more than one type of share. </w:t>
      </w:r>
    </w:p>
  </w:footnote>
  <w:footnote w:id="4">
    <w:p w14:paraId="35E10DFA" w14:textId="605FA1BD" w:rsidR="005F00D8" w:rsidRDefault="005F00D8">
      <w:pPr>
        <w:pStyle w:val="FootnoteText"/>
      </w:pPr>
      <w:r>
        <w:rPr>
          <w:rStyle w:val="FootnoteReference"/>
        </w:rPr>
        <w:footnoteRef/>
      </w:r>
      <w:r>
        <w:t xml:space="preserve"> Please note that this table includes US </w:t>
      </w:r>
      <w:r w:rsidR="00F40ED1">
        <w:t>frequency vote on pay resolutions</w:t>
      </w:r>
      <w:r w:rsidR="007665BB">
        <w:t xml:space="preserve"> where the previous table does not</w:t>
      </w:r>
      <w:r w:rsidR="00F40ED1">
        <w:t xml:space="preserve">. </w:t>
      </w:r>
    </w:p>
  </w:footnote>
  <w:footnote w:id="5">
    <w:p w14:paraId="7542BA29" w14:textId="4CC47478" w:rsidR="000476F3" w:rsidRDefault="000476F3">
      <w:pPr>
        <w:pStyle w:val="FootnoteText"/>
      </w:pPr>
      <w:r>
        <w:rPr>
          <w:rStyle w:val="FootnoteReference"/>
        </w:rPr>
        <w:footnoteRef/>
      </w:r>
      <w:r>
        <w:t xml:space="preserve"> Please note that this figure does not include US frequency vote on pay resolutions.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92A" w14:textId="164082CF" w:rsidR="00181195" w:rsidRPr="00EF6EB4" w:rsidRDefault="00181195" w:rsidP="00181195">
    <w:pPr>
      <w:pStyle w:val="Header"/>
      <w:jc w:val="right"/>
    </w:pPr>
    <w:r w:rsidRPr="00EF6EB4">
      <w:tab/>
      <w:t>REVIEW OF PROXY VOTING 202</w:t>
    </w:r>
    <w:r>
      <w:t>5</w:t>
    </w:r>
  </w:p>
  <w:p w14:paraId="7B28E6E9" w14:textId="77777777" w:rsidR="00181195" w:rsidRDefault="00181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6F32"/>
    <w:multiLevelType w:val="hybridMultilevel"/>
    <w:tmpl w:val="1A8E1870"/>
    <w:lvl w:ilvl="0" w:tplc="E37822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91829"/>
    <w:multiLevelType w:val="multilevel"/>
    <w:tmpl w:val="70FCEA6C"/>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1">
      <w:start w:val="1"/>
      <w:numFmt w:val="decimal"/>
      <w:isLgl/>
      <w:lvlText w:val="%1.%2"/>
      <w:lvlJc w:val="left"/>
      <w:pPr>
        <w:tabs>
          <w:tab w:val="num" w:pos="420"/>
        </w:tabs>
        <w:ind w:left="420" w:hanging="420"/>
      </w:pPr>
      <w:rPr>
        <w:rFonts w:ascii="Arial" w:hAnsi="Arial" w:cs="Arial"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B4E05D0"/>
    <w:multiLevelType w:val="hybridMultilevel"/>
    <w:tmpl w:val="7638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17D59"/>
    <w:multiLevelType w:val="hybridMultilevel"/>
    <w:tmpl w:val="7782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08128">
    <w:abstractNumId w:val="1"/>
  </w:num>
  <w:num w:numId="2" w16cid:durableId="1561090198">
    <w:abstractNumId w:val="0"/>
  </w:num>
  <w:num w:numId="3" w16cid:durableId="1886061248">
    <w:abstractNumId w:val="3"/>
  </w:num>
  <w:num w:numId="4" w16cid:durableId="118987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95"/>
    <w:rsid w:val="000012F4"/>
    <w:rsid w:val="0000236B"/>
    <w:rsid w:val="00013978"/>
    <w:rsid w:val="00014053"/>
    <w:rsid w:val="000154F3"/>
    <w:rsid w:val="00015981"/>
    <w:rsid w:val="0004069A"/>
    <w:rsid w:val="000476F3"/>
    <w:rsid w:val="000506A9"/>
    <w:rsid w:val="00073BA0"/>
    <w:rsid w:val="00076683"/>
    <w:rsid w:val="000825A3"/>
    <w:rsid w:val="000A47C6"/>
    <w:rsid w:val="000A5611"/>
    <w:rsid w:val="000B0BB2"/>
    <w:rsid w:val="000C0EA3"/>
    <w:rsid w:val="000D21C0"/>
    <w:rsid w:val="000E0469"/>
    <w:rsid w:val="000F0797"/>
    <w:rsid w:val="000F1FBF"/>
    <w:rsid w:val="000F53F0"/>
    <w:rsid w:val="00103DA3"/>
    <w:rsid w:val="001103D8"/>
    <w:rsid w:val="0011154B"/>
    <w:rsid w:val="00112111"/>
    <w:rsid w:val="00113873"/>
    <w:rsid w:val="00113D39"/>
    <w:rsid w:val="00122424"/>
    <w:rsid w:val="00123664"/>
    <w:rsid w:val="00130978"/>
    <w:rsid w:val="0013410B"/>
    <w:rsid w:val="00142527"/>
    <w:rsid w:val="00144DB0"/>
    <w:rsid w:val="0015346A"/>
    <w:rsid w:val="001541A7"/>
    <w:rsid w:val="00154508"/>
    <w:rsid w:val="00156FFD"/>
    <w:rsid w:val="00161E70"/>
    <w:rsid w:val="00163235"/>
    <w:rsid w:val="001649D0"/>
    <w:rsid w:val="00167E03"/>
    <w:rsid w:val="0017150A"/>
    <w:rsid w:val="001732AA"/>
    <w:rsid w:val="0017534C"/>
    <w:rsid w:val="00180D3E"/>
    <w:rsid w:val="00181195"/>
    <w:rsid w:val="00183C39"/>
    <w:rsid w:val="00191C01"/>
    <w:rsid w:val="0019265A"/>
    <w:rsid w:val="00197FE1"/>
    <w:rsid w:val="001A23BD"/>
    <w:rsid w:val="001A6180"/>
    <w:rsid w:val="001B0439"/>
    <w:rsid w:val="001B56FF"/>
    <w:rsid w:val="001B6A37"/>
    <w:rsid w:val="001C79AC"/>
    <w:rsid w:val="001D535D"/>
    <w:rsid w:val="001E110F"/>
    <w:rsid w:val="001E1D72"/>
    <w:rsid w:val="001F7569"/>
    <w:rsid w:val="00203FB8"/>
    <w:rsid w:val="00205719"/>
    <w:rsid w:val="00214EBD"/>
    <w:rsid w:val="00220664"/>
    <w:rsid w:val="002360EC"/>
    <w:rsid w:val="00236715"/>
    <w:rsid w:val="002420D8"/>
    <w:rsid w:val="00242DC5"/>
    <w:rsid w:val="00247042"/>
    <w:rsid w:val="00253A43"/>
    <w:rsid w:val="00256732"/>
    <w:rsid w:val="00262F4B"/>
    <w:rsid w:val="0026410A"/>
    <w:rsid w:val="0028395B"/>
    <w:rsid w:val="00286255"/>
    <w:rsid w:val="0029071F"/>
    <w:rsid w:val="00290F3C"/>
    <w:rsid w:val="002A3BBE"/>
    <w:rsid w:val="002A632C"/>
    <w:rsid w:val="002B0B65"/>
    <w:rsid w:val="002B2AB4"/>
    <w:rsid w:val="002B2B27"/>
    <w:rsid w:val="002B399B"/>
    <w:rsid w:val="002B658C"/>
    <w:rsid w:val="002C3528"/>
    <w:rsid w:val="002D1197"/>
    <w:rsid w:val="002D472A"/>
    <w:rsid w:val="002D4C2D"/>
    <w:rsid w:val="002E71B3"/>
    <w:rsid w:val="003008D0"/>
    <w:rsid w:val="00305AB0"/>
    <w:rsid w:val="00316BA5"/>
    <w:rsid w:val="00321EAE"/>
    <w:rsid w:val="00324C76"/>
    <w:rsid w:val="0032585B"/>
    <w:rsid w:val="0033659D"/>
    <w:rsid w:val="00346EB0"/>
    <w:rsid w:val="00356098"/>
    <w:rsid w:val="00375AD4"/>
    <w:rsid w:val="003864CD"/>
    <w:rsid w:val="003969F2"/>
    <w:rsid w:val="003A7ED5"/>
    <w:rsid w:val="003B0F83"/>
    <w:rsid w:val="003B6403"/>
    <w:rsid w:val="003B7926"/>
    <w:rsid w:val="003C49ED"/>
    <w:rsid w:val="003D257F"/>
    <w:rsid w:val="003E1C6C"/>
    <w:rsid w:val="003F033D"/>
    <w:rsid w:val="003F4146"/>
    <w:rsid w:val="003F42E2"/>
    <w:rsid w:val="00406331"/>
    <w:rsid w:val="00406AA0"/>
    <w:rsid w:val="004077B4"/>
    <w:rsid w:val="0042021E"/>
    <w:rsid w:val="00420267"/>
    <w:rsid w:val="00421138"/>
    <w:rsid w:val="004259EC"/>
    <w:rsid w:val="004341CD"/>
    <w:rsid w:val="00440997"/>
    <w:rsid w:val="00443DBB"/>
    <w:rsid w:val="0044553D"/>
    <w:rsid w:val="00447698"/>
    <w:rsid w:val="00450593"/>
    <w:rsid w:val="004525EC"/>
    <w:rsid w:val="00455914"/>
    <w:rsid w:val="00460315"/>
    <w:rsid w:val="00473BB5"/>
    <w:rsid w:val="00474C84"/>
    <w:rsid w:val="00474DD3"/>
    <w:rsid w:val="0048603C"/>
    <w:rsid w:val="00487515"/>
    <w:rsid w:val="004A378E"/>
    <w:rsid w:val="004A6A2A"/>
    <w:rsid w:val="004A6CB3"/>
    <w:rsid w:val="004C5EF0"/>
    <w:rsid w:val="004C7760"/>
    <w:rsid w:val="004F2E90"/>
    <w:rsid w:val="00500931"/>
    <w:rsid w:val="00510E7A"/>
    <w:rsid w:val="00511CFB"/>
    <w:rsid w:val="005121D6"/>
    <w:rsid w:val="00513D12"/>
    <w:rsid w:val="00515A82"/>
    <w:rsid w:val="005165C5"/>
    <w:rsid w:val="00516A58"/>
    <w:rsid w:val="00520780"/>
    <w:rsid w:val="00522ABD"/>
    <w:rsid w:val="00524484"/>
    <w:rsid w:val="00532C9B"/>
    <w:rsid w:val="005441F2"/>
    <w:rsid w:val="00550894"/>
    <w:rsid w:val="00553422"/>
    <w:rsid w:val="00557963"/>
    <w:rsid w:val="00562960"/>
    <w:rsid w:val="00565B2F"/>
    <w:rsid w:val="005722E2"/>
    <w:rsid w:val="00572FD9"/>
    <w:rsid w:val="00574B24"/>
    <w:rsid w:val="00580D6D"/>
    <w:rsid w:val="0058108B"/>
    <w:rsid w:val="00582B48"/>
    <w:rsid w:val="00587BED"/>
    <w:rsid w:val="00592FED"/>
    <w:rsid w:val="005A04B0"/>
    <w:rsid w:val="005A0E8D"/>
    <w:rsid w:val="005A203F"/>
    <w:rsid w:val="005A3E8B"/>
    <w:rsid w:val="005B14C3"/>
    <w:rsid w:val="005C3054"/>
    <w:rsid w:val="005D2DE5"/>
    <w:rsid w:val="005E782E"/>
    <w:rsid w:val="005E783B"/>
    <w:rsid w:val="005F00D8"/>
    <w:rsid w:val="005F7C3D"/>
    <w:rsid w:val="00600633"/>
    <w:rsid w:val="00601801"/>
    <w:rsid w:val="00605387"/>
    <w:rsid w:val="00622432"/>
    <w:rsid w:val="0062536C"/>
    <w:rsid w:val="0062767F"/>
    <w:rsid w:val="006318A1"/>
    <w:rsid w:val="00643883"/>
    <w:rsid w:val="00653CBF"/>
    <w:rsid w:val="00665AE3"/>
    <w:rsid w:val="00677546"/>
    <w:rsid w:val="00680618"/>
    <w:rsid w:val="00680E1C"/>
    <w:rsid w:val="00681C93"/>
    <w:rsid w:val="00683A88"/>
    <w:rsid w:val="00693A60"/>
    <w:rsid w:val="006A1506"/>
    <w:rsid w:val="006A7847"/>
    <w:rsid w:val="006B1CCD"/>
    <w:rsid w:val="006B1E67"/>
    <w:rsid w:val="006B4466"/>
    <w:rsid w:val="006B6450"/>
    <w:rsid w:val="006B6DB0"/>
    <w:rsid w:val="006D1C42"/>
    <w:rsid w:val="006E7994"/>
    <w:rsid w:val="0070229A"/>
    <w:rsid w:val="00704976"/>
    <w:rsid w:val="00704B7B"/>
    <w:rsid w:val="00716A19"/>
    <w:rsid w:val="00717429"/>
    <w:rsid w:val="007229FD"/>
    <w:rsid w:val="00733866"/>
    <w:rsid w:val="00734FB7"/>
    <w:rsid w:val="007364BF"/>
    <w:rsid w:val="00737C8D"/>
    <w:rsid w:val="007431DC"/>
    <w:rsid w:val="00755A1F"/>
    <w:rsid w:val="00755A93"/>
    <w:rsid w:val="007626F7"/>
    <w:rsid w:val="007665BB"/>
    <w:rsid w:val="007738CD"/>
    <w:rsid w:val="007747C5"/>
    <w:rsid w:val="007772C3"/>
    <w:rsid w:val="00783738"/>
    <w:rsid w:val="00785915"/>
    <w:rsid w:val="0078654C"/>
    <w:rsid w:val="0079215C"/>
    <w:rsid w:val="00797E51"/>
    <w:rsid w:val="007A3BAE"/>
    <w:rsid w:val="007B12CE"/>
    <w:rsid w:val="007C417A"/>
    <w:rsid w:val="007D2EB6"/>
    <w:rsid w:val="007D4134"/>
    <w:rsid w:val="007D69C1"/>
    <w:rsid w:val="007F4127"/>
    <w:rsid w:val="007F78DC"/>
    <w:rsid w:val="00803E0C"/>
    <w:rsid w:val="00811A4B"/>
    <w:rsid w:val="00816454"/>
    <w:rsid w:val="008234B1"/>
    <w:rsid w:val="00824664"/>
    <w:rsid w:val="00827975"/>
    <w:rsid w:val="00827C2B"/>
    <w:rsid w:val="00831D33"/>
    <w:rsid w:val="008376B1"/>
    <w:rsid w:val="00840C19"/>
    <w:rsid w:val="00844AC2"/>
    <w:rsid w:val="00846CE8"/>
    <w:rsid w:val="00847458"/>
    <w:rsid w:val="0085086A"/>
    <w:rsid w:val="008575CA"/>
    <w:rsid w:val="00864D14"/>
    <w:rsid w:val="00871D67"/>
    <w:rsid w:val="008726E1"/>
    <w:rsid w:val="00877C26"/>
    <w:rsid w:val="0088355A"/>
    <w:rsid w:val="008838BD"/>
    <w:rsid w:val="00887FEB"/>
    <w:rsid w:val="00890D68"/>
    <w:rsid w:val="0089114B"/>
    <w:rsid w:val="008A778D"/>
    <w:rsid w:val="008B09B3"/>
    <w:rsid w:val="008B7913"/>
    <w:rsid w:val="008C0EAA"/>
    <w:rsid w:val="008C2D0F"/>
    <w:rsid w:val="008C3C64"/>
    <w:rsid w:val="008D484F"/>
    <w:rsid w:val="008E0060"/>
    <w:rsid w:val="008E00FC"/>
    <w:rsid w:val="008E0942"/>
    <w:rsid w:val="008E2925"/>
    <w:rsid w:val="008E6700"/>
    <w:rsid w:val="008F0D20"/>
    <w:rsid w:val="008F6FBC"/>
    <w:rsid w:val="009130C9"/>
    <w:rsid w:val="00932171"/>
    <w:rsid w:val="0093463B"/>
    <w:rsid w:val="009375FA"/>
    <w:rsid w:val="009418E6"/>
    <w:rsid w:val="00942B91"/>
    <w:rsid w:val="00943DBD"/>
    <w:rsid w:val="009748CB"/>
    <w:rsid w:val="00974C31"/>
    <w:rsid w:val="009762B3"/>
    <w:rsid w:val="009772B4"/>
    <w:rsid w:val="009B0C05"/>
    <w:rsid w:val="009B63F6"/>
    <w:rsid w:val="009C1D7A"/>
    <w:rsid w:val="009D3FE2"/>
    <w:rsid w:val="009D7386"/>
    <w:rsid w:val="009F561F"/>
    <w:rsid w:val="00A05BC1"/>
    <w:rsid w:val="00A13A55"/>
    <w:rsid w:val="00A1760F"/>
    <w:rsid w:val="00A30E41"/>
    <w:rsid w:val="00A444A1"/>
    <w:rsid w:val="00A63A3A"/>
    <w:rsid w:val="00A73EAC"/>
    <w:rsid w:val="00A856ED"/>
    <w:rsid w:val="00A95653"/>
    <w:rsid w:val="00AA154A"/>
    <w:rsid w:val="00AA599A"/>
    <w:rsid w:val="00AB0312"/>
    <w:rsid w:val="00AB1269"/>
    <w:rsid w:val="00AB1762"/>
    <w:rsid w:val="00AB66AD"/>
    <w:rsid w:val="00AD2F3E"/>
    <w:rsid w:val="00AD57FB"/>
    <w:rsid w:val="00AE76FF"/>
    <w:rsid w:val="00AF1337"/>
    <w:rsid w:val="00AF1FE6"/>
    <w:rsid w:val="00AF443E"/>
    <w:rsid w:val="00B3138C"/>
    <w:rsid w:val="00B32A19"/>
    <w:rsid w:val="00B334D8"/>
    <w:rsid w:val="00B40975"/>
    <w:rsid w:val="00B46964"/>
    <w:rsid w:val="00B52D69"/>
    <w:rsid w:val="00B60630"/>
    <w:rsid w:val="00B66E12"/>
    <w:rsid w:val="00B70994"/>
    <w:rsid w:val="00B746FF"/>
    <w:rsid w:val="00B7562A"/>
    <w:rsid w:val="00B75B51"/>
    <w:rsid w:val="00B83FDA"/>
    <w:rsid w:val="00B8634C"/>
    <w:rsid w:val="00B91551"/>
    <w:rsid w:val="00B92B63"/>
    <w:rsid w:val="00BA1EDA"/>
    <w:rsid w:val="00BA406B"/>
    <w:rsid w:val="00BB2833"/>
    <w:rsid w:val="00BB37B1"/>
    <w:rsid w:val="00BC27CE"/>
    <w:rsid w:val="00BD34A5"/>
    <w:rsid w:val="00BD5289"/>
    <w:rsid w:val="00BE2628"/>
    <w:rsid w:val="00BE5F0E"/>
    <w:rsid w:val="00BF0FB5"/>
    <w:rsid w:val="00BF6964"/>
    <w:rsid w:val="00C03A19"/>
    <w:rsid w:val="00C03D9B"/>
    <w:rsid w:val="00C072AE"/>
    <w:rsid w:val="00C12D77"/>
    <w:rsid w:val="00C14E71"/>
    <w:rsid w:val="00C16BA4"/>
    <w:rsid w:val="00C17B4A"/>
    <w:rsid w:val="00C24597"/>
    <w:rsid w:val="00C25C0B"/>
    <w:rsid w:val="00C2740E"/>
    <w:rsid w:val="00C34849"/>
    <w:rsid w:val="00C34C58"/>
    <w:rsid w:val="00C40EC1"/>
    <w:rsid w:val="00C42E68"/>
    <w:rsid w:val="00C611B1"/>
    <w:rsid w:val="00C636C7"/>
    <w:rsid w:val="00C66C1A"/>
    <w:rsid w:val="00C7039A"/>
    <w:rsid w:val="00C74402"/>
    <w:rsid w:val="00C74F77"/>
    <w:rsid w:val="00C84D01"/>
    <w:rsid w:val="00C85B8F"/>
    <w:rsid w:val="00C85EFE"/>
    <w:rsid w:val="00C8701C"/>
    <w:rsid w:val="00CA3728"/>
    <w:rsid w:val="00CB5084"/>
    <w:rsid w:val="00CB6846"/>
    <w:rsid w:val="00CC2995"/>
    <w:rsid w:val="00CE180E"/>
    <w:rsid w:val="00CE2FFA"/>
    <w:rsid w:val="00CE535A"/>
    <w:rsid w:val="00D07432"/>
    <w:rsid w:val="00D1269E"/>
    <w:rsid w:val="00D35A3F"/>
    <w:rsid w:val="00D40A0B"/>
    <w:rsid w:val="00D40BBC"/>
    <w:rsid w:val="00D450C9"/>
    <w:rsid w:val="00D521C2"/>
    <w:rsid w:val="00D530AC"/>
    <w:rsid w:val="00D60909"/>
    <w:rsid w:val="00D71CF7"/>
    <w:rsid w:val="00D81370"/>
    <w:rsid w:val="00D84B77"/>
    <w:rsid w:val="00D87959"/>
    <w:rsid w:val="00D92E1B"/>
    <w:rsid w:val="00D9495D"/>
    <w:rsid w:val="00DA1442"/>
    <w:rsid w:val="00DA4534"/>
    <w:rsid w:val="00DC689A"/>
    <w:rsid w:val="00DC7924"/>
    <w:rsid w:val="00DD12BA"/>
    <w:rsid w:val="00DD6715"/>
    <w:rsid w:val="00DE322E"/>
    <w:rsid w:val="00DE4966"/>
    <w:rsid w:val="00DE7226"/>
    <w:rsid w:val="00E1080A"/>
    <w:rsid w:val="00E11F50"/>
    <w:rsid w:val="00E1331B"/>
    <w:rsid w:val="00E237A7"/>
    <w:rsid w:val="00E2581C"/>
    <w:rsid w:val="00E32578"/>
    <w:rsid w:val="00E450E8"/>
    <w:rsid w:val="00E475B1"/>
    <w:rsid w:val="00E514D8"/>
    <w:rsid w:val="00E56C16"/>
    <w:rsid w:val="00E649DB"/>
    <w:rsid w:val="00E72F4E"/>
    <w:rsid w:val="00E73105"/>
    <w:rsid w:val="00E73A36"/>
    <w:rsid w:val="00E76835"/>
    <w:rsid w:val="00E84497"/>
    <w:rsid w:val="00E84E75"/>
    <w:rsid w:val="00E94EAC"/>
    <w:rsid w:val="00E96831"/>
    <w:rsid w:val="00EB2206"/>
    <w:rsid w:val="00EB7C77"/>
    <w:rsid w:val="00EC5D11"/>
    <w:rsid w:val="00ED03EF"/>
    <w:rsid w:val="00ED3FF0"/>
    <w:rsid w:val="00ED4008"/>
    <w:rsid w:val="00EE0C48"/>
    <w:rsid w:val="00EE28C7"/>
    <w:rsid w:val="00EE2C93"/>
    <w:rsid w:val="00EE593D"/>
    <w:rsid w:val="00EE7B5A"/>
    <w:rsid w:val="00EF2182"/>
    <w:rsid w:val="00EF44F4"/>
    <w:rsid w:val="00EF5C87"/>
    <w:rsid w:val="00EF7CAD"/>
    <w:rsid w:val="00EF7E86"/>
    <w:rsid w:val="00F031DD"/>
    <w:rsid w:val="00F03C48"/>
    <w:rsid w:val="00F12172"/>
    <w:rsid w:val="00F15CED"/>
    <w:rsid w:val="00F1676D"/>
    <w:rsid w:val="00F238D5"/>
    <w:rsid w:val="00F26E2E"/>
    <w:rsid w:val="00F32506"/>
    <w:rsid w:val="00F328D8"/>
    <w:rsid w:val="00F40ED1"/>
    <w:rsid w:val="00F43A4C"/>
    <w:rsid w:val="00F46321"/>
    <w:rsid w:val="00F507DB"/>
    <w:rsid w:val="00F61062"/>
    <w:rsid w:val="00F6379B"/>
    <w:rsid w:val="00F65C20"/>
    <w:rsid w:val="00F67E8C"/>
    <w:rsid w:val="00F71072"/>
    <w:rsid w:val="00F8234F"/>
    <w:rsid w:val="00F83B1A"/>
    <w:rsid w:val="00F83CB0"/>
    <w:rsid w:val="00F96925"/>
    <w:rsid w:val="00F97416"/>
    <w:rsid w:val="00FA44C6"/>
    <w:rsid w:val="00FA5F3B"/>
    <w:rsid w:val="00FB20F4"/>
    <w:rsid w:val="00FB3A69"/>
    <w:rsid w:val="00FB4661"/>
    <w:rsid w:val="00FB5DF6"/>
    <w:rsid w:val="00FB71E0"/>
    <w:rsid w:val="00FC3E4A"/>
    <w:rsid w:val="00FC63BB"/>
    <w:rsid w:val="00FE765C"/>
    <w:rsid w:val="00FF0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D260"/>
  <w15:chartTrackingRefBased/>
  <w15:docId w15:val="{9B03DE5B-7A58-4174-A6AB-6785F374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95"/>
    <w:rPr>
      <w:rFonts w:eastAsiaTheme="majorEastAsia" w:cstheme="majorBidi"/>
      <w:color w:val="272727" w:themeColor="text1" w:themeTint="D8"/>
    </w:rPr>
  </w:style>
  <w:style w:type="paragraph" w:styleId="Title">
    <w:name w:val="Title"/>
    <w:basedOn w:val="Normal"/>
    <w:next w:val="Normal"/>
    <w:link w:val="TitleChar"/>
    <w:uiPriority w:val="10"/>
    <w:qFormat/>
    <w:rsid w:val="00181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95"/>
    <w:pPr>
      <w:spacing w:before="160"/>
      <w:jc w:val="center"/>
    </w:pPr>
    <w:rPr>
      <w:i/>
      <w:iCs/>
      <w:color w:val="404040" w:themeColor="text1" w:themeTint="BF"/>
    </w:rPr>
  </w:style>
  <w:style w:type="character" w:customStyle="1" w:styleId="QuoteChar">
    <w:name w:val="Quote Char"/>
    <w:basedOn w:val="DefaultParagraphFont"/>
    <w:link w:val="Quote"/>
    <w:uiPriority w:val="29"/>
    <w:rsid w:val="00181195"/>
    <w:rPr>
      <w:i/>
      <w:iCs/>
      <w:color w:val="404040" w:themeColor="text1" w:themeTint="BF"/>
    </w:rPr>
  </w:style>
  <w:style w:type="paragraph" w:styleId="ListParagraph">
    <w:name w:val="List Paragraph"/>
    <w:basedOn w:val="Normal"/>
    <w:qFormat/>
    <w:rsid w:val="00181195"/>
    <w:pPr>
      <w:ind w:left="720"/>
      <w:contextualSpacing/>
    </w:pPr>
  </w:style>
  <w:style w:type="character" w:styleId="IntenseEmphasis">
    <w:name w:val="Intense Emphasis"/>
    <w:basedOn w:val="DefaultParagraphFont"/>
    <w:uiPriority w:val="21"/>
    <w:qFormat/>
    <w:rsid w:val="00181195"/>
    <w:rPr>
      <w:i/>
      <w:iCs/>
      <w:color w:val="0F4761" w:themeColor="accent1" w:themeShade="BF"/>
    </w:rPr>
  </w:style>
  <w:style w:type="paragraph" w:styleId="IntenseQuote">
    <w:name w:val="Intense Quote"/>
    <w:basedOn w:val="Normal"/>
    <w:next w:val="Normal"/>
    <w:link w:val="IntenseQuoteChar"/>
    <w:uiPriority w:val="30"/>
    <w:qFormat/>
    <w:rsid w:val="00181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95"/>
    <w:rPr>
      <w:i/>
      <w:iCs/>
      <w:color w:val="0F4761" w:themeColor="accent1" w:themeShade="BF"/>
    </w:rPr>
  </w:style>
  <w:style w:type="character" w:styleId="IntenseReference">
    <w:name w:val="Intense Reference"/>
    <w:basedOn w:val="DefaultParagraphFont"/>
    <w:uiPriority w:val="32"/>
    <w:qFormat/>
    <w:rsid w:val="00181195"/>
    <w:rPr>
      <w:b/>
      <w:bCs/>
      <w:smallCaps/>
      <w:color w:val="0F4761" w:themeColor="accent1" w:themeShade="BF"/>
      <w:spacing w:val="5"/>
    </w:rPr>
  </w:style>
  <w:style w:type="character" w:styleId="Hyperlink">
    <w:name w:val="Hyperlink"/>
    <w:basedOn w:val="DefaultParagraphFont"/>
    <w:uiPriority w:val="99"/>
    <w:unhideWhenUsed/>
    <w:rsid w:val="00181195"/>
    <w:rPr>
      <w:color w:val="467886" w:themeColor="hyperlink"/>
      <w:u w:val="single"/>
    </w:rPr>
  </w:style>
  <w:style w:type="character" w:styleId="UnresolvedMention">
    <w:name w:val="Unresolved Mention"/>
    <w:basedOn w:val="DefaultParagraphFont"/>
    <w:uiPriority w:val="99"/>
    <w:semiHidden/>
    <w:unhideWhenUsed/>
    <w:rsid w:val="00181195"/>
    <w:rPr>
      <w:color w:val="605E5C"/>
      <w:shd w:val="clear" w:color="auto" w:fill="E1DFDD"/>
    </w:rPr>
  </w:style>
  <w:style w:type="paragraph" w:styleId="Header">
    <w:name w:val="header"/>
    <w:basedOn w:val="Normal"/>
    <w:link w:val="HeaderChar"/>
    <w:unhideWhenUsed/>
    <w:rsid w:val="00181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95"/>
  </w:style>
  <w:style w:type="paragraph" w:styleId="Footer">
    <w:name w:val="footer"/>
    <w:basedOn w:val="Normal"/>
    <w:link w:val="FooterChar"/>
    <w:uiPriority w:val="99"/>
    <w:unhideWhenUsed/>
    <w:rsid w:val="00181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95"/>
  </w:style>
  <w:style w:type="table" w:styleId="TableGrid">
    <w:name w:val="Table Grid"/>
    <w:basedOn w:val="TableNormal"/>
    <w:uiPriority w:val="39"/>
    <w:rsid w:val="0018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3F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3F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0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21E"/>
    <w:rPr>
      <w:sz w:val="20"/>
      <w:szCs w:val="20"/>
    </w:rPr>
  </w:style>
  <w:style w:type="character" w:styleId="FootnoteReference">
    <w:name w:val="footnote reference"/>
    <w:basedOn w:val="DefaultParagraphFont"/>
    <w:uiPriority w:val="99"/>
    <w:semiHidden/>
    <w:unhideWhenUsed/>
    <w:rsid w:val="0042021E"/>
    <w:rPr>
      <w:vertAlign w:val="superscript"/>
    </w:rPr>
  </w:style>
  <w:style w:type="paragraph" w:styleId="Revision">
    <w:name w:val="Revision"/>
    <w:hidden/>
    <w:uiPriority w:val="99"/>
    <w:semiHidden/>
    <w:rsid w:val="008E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Meetings</a:t>
            </a:r>
            <a:r>
              <a:rPr lang="en-GB" baseline="0"/>
              <a:t> by region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Sheet1!$D$3</c:f>
              <c:strCache>
                <c:ptCount val="1"/>
                <c:pt idx="0">
                  <c:v>2025</c:v>
                </c:pt>
              </c:strCache>
            </c:strRef>
          </c:tx>
          <c:spPr>
            <a:solidFill>
              <a:schemeClr val="accent1"/>
            </a:solidFill>
            <a:ln>
              <a:noFill/>
            </a:ln>
            <a:effectLst/>
          </c:spPr>
          <c:invertIfNegative val="0"/>
          <c:cat>
            <c:strRef>
              <c:f>Sheet1!$C$4:$C$7</c:f>
              <c:strCache>
                <c:ptCount val="4"/>
                <c:pt idx="0">
                  <c:v>UK &amp; British Overseas</c:v>
                </c:pt>
                <c:pt idx="1">
                  <c:v>Europe and Global EU</c:v>
                </c:pt>
                <c:pt idx="2">
                  <c:v>USA &amp; Canada</c:v>
                </c:pt>
                <c:pt idx="3">
                  <c:v>Other regions</c:v>
                </c:pt>
              </c:strCache>
            </c:strRef>
          </c:cat>
          <c:val>
            <c:numRef>
              <c:f>Sheet1!$D$4:$D$7</c:f>
              <c:numCache>
                <c:formatCode>General</c:formatCode>
                <c:ptCount val="4"/>
                <c:pt idx="0">
                  <c:v>769</c:v>
                </c:pt>
                <c:pt idx="1">
                  <c:v>292</c:v>
                </c:pt>
                <c:pt idx="2">
                  <c:v>589</c:v>
                </c:pt>
                <c:pt idx="3">
                  <c:v>70</c:v>
                </c:pt>
              </c:numCache>
            </c:numRef>
          </c:val>
          <c:extLst>
            <c:ext xmlns:c16="http://schemas.microsoft.com/office/drawing/2014/chart" uri="{C3380CC4-5D6E-409C-BE32-E72D297353CC}">
              <c16:uniqueId val="{00000000-3736-4FEC-B20C-C337EC2701C7}"/>
            </c:ext>
          </c:extLst>
        </c:ser>
        <c:ser>
          <c:idx val="1"/>
          <c:order val="1"/>
          <c:tx>
            <c:strRef>
              <c:f>Sheet1!$E$3</c:f>
              <c:strCache>
                <c:ptCount val="1"/>
                <c:pt idx="0">
                  <c:v>2024</c:v>
                </c:pt>
              </c:strCache>
            </c:strRef>
          </c:tx>
          <c:spPr>
            <a:solidFill>
              <a:schemeClr val="accent2"/>
            </a:solidFill>
            <a:ln>
              <a:noFill/>
            </a:ln>
            <a:effectLst/>
          </c:spPr>
          <c:invertIfNegative val="0"/>
          <c:cat>
            <c:strRef>
              <c:f>Sheet1!$C$4:$C$7</c:f>
              <c:strCache>
                <c:ptCount val="4"/>
                <c:pt idx="0">
                  <c:v>UK &amp; British Overseas</c:v>
                </c:pt>
                <c:pt idx="1">
                  <c:v>Europe and Global EU</c:v>
                </c:pt>
                <c:pt idx="2">
                  <c:v>USA &amp; Canada</c:v>
                </c:pt>
                <c:pt idx="3">
                  <c:v>Other regions</c:v>
                </c:pt>
              </c:strCache>
            </c:strRef>
          </c:cat>
          <c:val>
            <c:numRef>
              <c:f>Sheet1!$E$4:$E$7</c:f>
              <c:numCache>
                <c:formatCode>General</c:formatCode>
                <c:ptCount val="4"/>
                <c:pt idx="0">
                  <c:v>735</c:v>
                </c:pt>
                <c:pt idx="1">
                  <c:v>263</c:v>
                </c:pt>
                <c:pt idx="2">
                  <c:v>620</c:v>
                </c:pt>
                <c:pt idx="3">
                  <c:v>77</c:v>
                </c:pt>
              </c:numCache>
            </c:numRef>
          </c:val>
          <c:extLst>
            <c:ext xmlns:c16="http://schemas.microsoft.com/office/drawing/2014/chart" uri="{C3380CC4-5D6E-409C-BE32-E72D297353CC}">
              <c16:uniqueId val="{00000001-3736-4FEC-B20C-C337EC2701C7}"/>
            </c:ext>
          </c:extLst>
        </c:ser>
        <c:dLbls>
          <c:showLegendKey val="0"/>
          <c:showVal val="0"/>
          <c:showCatName val="0"/>
          <c:showSerName val="0"/>
          <c:showPercent val="0"/>
          <c:showBubbleSize val="0"/>
        </c:dLbls>
        <c:gapWidth val="219"/>
        <c:overlap val="-27"/>
        <c:axId val="1466304271"/>
        <c:axId val="1466303311"/>
      </c:barChart>
      <c:catAx>
        <c:axId val="1466304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303311"/>
        <c:crosses val="autoZero"/>
        <c:auto val="1"/>
        <c:lblAlgn val="ctr"/>
        <c:lblOffset val="100"/>
        <c:noMultiLvlLbl val="0"/>
      </c:catAx>
      <c:valAx>
        <c:axId val="146630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304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7F47-E5EB-4D73-B257-0BD52050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4260</Words>
  <Characters>22584</Characters>
  <Application>Microsoft Office Word</Application>
  <DocSecurity>0</DocSecurity>
  <Lines>836</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Marshall</dc:creator>
  <cp:keywords/>
  <dc:description/>
  <cp:lastModifiedBy>Priya Nair</cp:lastModifiedBy>
  <cp:revision>3</cp:revision>
  <dcterms:created xsi:type="dcterms:W3CDTF">2026-03-10T13:42:00Z</dcterms:created>
  <dcterms:modified xsi:type="dcterms:W3CDTF">2026-03-10T13:52:00Z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b6e06ae0-5b12-4658-9222-a2626dceee08</vt:lpwstr>
  </property>
</Properties>
</file>