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2319" w:rsidRPr="00B35603" w:rsidRDefault="00B35603">
      <w:pPr>
        <w:rPr>
          <w:rFonts w:ascii="HelveticaNeueLT Std" w:hAnsi="HelveticaNeueLT Std"/>
          <w:b/>
          <w:sz w:val="28"/>
          <w:szCs w:val="28"/>
        </w:rPr>
      </w:pPr>
      <w:bookmarkStart w:id="0" w:name="_GoBack"/>
      <w:bookmarkEnd w:id="0"/>
      <w:r w:rsidRPr="00B35603">
        <w:rPr>
          <w:rFonts w:ascii="HelveticaNeueLT Std" w:hAnsi="HelveticaNeueLT Std"/>
          <w:b/>
          <w:sz w:val="28"/>
          <w:szCs w:val="28"/>
        </w:rPr>
        <w:t>Highgate Neighbourhood Plan – Statement of Common Ground (Appendix 1)</w:t>
      </w:r>
    </w:p>
    <w:p w:rsidR="009077E1" w:rsidRDefault="009077E1"/>
    <w:p w:rsidR="009077E1" w:rsidRPr="009077E1" w:rsidRDefault="009077E1">
      <w:pPr>
        <w:rPr>
          <w:rFonts w:ascii="HelveticaNeueLT Std" w:hAnsi="HelveticaNeueLT Std"/>
          <w:sz w:val="24"/>
          <w:szCs w:val="24"/>
        </w:rPr>
      </w:pPr>
      <w:r w:rsidRPr="009077E1">
        <w:rPr>
          <w:rFonts w:ascii="HelveticaNeueLT Std" w:hAnsi="HelveticaNeueLT Std"/>
          <w:sz w:val="24"/>
          <w:szCs w:val="24"/>
        </w:rPr>
        <w:t xml:space="preserve">This Appendix </w:t>
      </w:r>
      <w:r>
        <w:rPr>
          <w:rFonts w:ascii="HelveticaNeueLT Std" w:hAnsi="HelveticaNeueLT Std"/>
          <w:sz w:val="24"/>
          <w:szCs w:val="24"/>
        </w:rPr>
        <w:t>sets out</w:t>
      </w:r>
      <w:r w:rsidRPr="009077E1">
        <w:rPr>
          <w:rFonts w:ascii="HelveticaNeueLT Std" w:hAnsi="HelveticaNeueLT Std"/>
          <w:sz w:val="24"/>
          <w:szCs w:val="24"/>
        </w:rPr>
        <w:t xml:space="preserve"> correspondence between Intelligent Plans</w:t>
      </w:r>
      <w:r w:rsidR="008E2D51">
        <w:rPr>
          <w:rFonts w:ascii="HelveticaNeueLT Std" w:hAnsi="HelveticaNeueLT Std"/>
          <w:sz w:val="24"/>
          <w:szCs w:val="24"/>
        </w:rPr>
        <w:t xml:space="preserve"> and Examinations</w:t>
      </w:r>
      <w:r w:rsidRPr="009077E1">
        <w:rPr>
          <w:rFonts w:ascii="HelveticaNeueLT Std" w:hAnsi="HelveticaNeueLT Std"/>
          <w:sz w:val="24"/>
          <w:szCs w:val="24"/>
        </w:rPr>
        <w:t xml:space="preserve">, on behalf of the Neighbourhood Plan Examiner, and </w:t>
      </w:r>
      <w:r>
        <w:rPr>
          <w:rFonts w:ascii="HelveticaNeueLT Std" w:hAnsi="HelveticaNeueLT Std"/>
          <w:sz w:val="24"/>
          <w:szCs w:val="24"/>
        </w:rPr>
        <w:t>the</w:t>
      </w:r>
      <w:r w:rsidRPr="009077E1">
        <w:rPr>
          <w:rFonts w:ascii="HelveticaNeueLT Std" w:hAnsi="HelveticaNeueLT Std"/>
          <w:sz w:val="24"/>
          <w:szCs w:val="24"/>
        </w:rPr>
        <w:t xml:space="preserve"> Councils following the submission of the Statement of Common Ground on 19</w:t>
      </w:r>
      <w:r w:rsidRPr="009077E1">
        <w:rPr>
          <w:rFonts w:ascii="HelveticaNeueLT Std" w:hAnsi="HelveticaNeueLT Std"/>
          <w:sz w:val="24"/>
          <w:szCs w:val="24"/>
          <w:vertAlign w:val="superscript"/>
        </w:rPr>
        <w:t>th</w:t>
      </w:r>
      <w:r w:rsidRPr="009077E1">
        <w:rPr>
          <w:rFonts w:ascii="HelveticaNeueLT Std" w:hAnsi="HelveticaNeueLT Std"/>
          <w:sz w:val="24"/>
          <w:szCs w:val="24"/>
        </w:rPr>
        <w:t xml:space="preserve"> January 2017.</w:t>
      </w:r>
      <w:r>
        <w:rPr>
          <w:rFonts w:ascii="HelveticaNeueLT Std" w:hAnsi="HelveticaNeueLT Std"/>
          <w:sz w:val="24"/>
          <w:szCs w:val="24"/>
        </w:rPr>
        <w:t xml:space="preserve"> It concerns the Neighbourhood Plan proposals for key site </w:t>
      </w:r>
      <w:r w:rsidRPr="001A6EFC">
        <w:rPr>
          <w:rFonts w:ascii="HelveticaNeueLT Std" w:hAnsi="HelveticaNeueLT Std"/>
          <w:b/>
          <w:sz w:val="24"/>
          <w:szCs w:val="24"/>
        </w:rPr>
        <w:t>Policy KS3 (Highgate Bowl)</w:t>
      </w:r>
      <w:r>
        <w:rPr>
          <w:rFonts w:ascii="HelveticaNeueLT Std" w:hAnsi="HelveticaNeueLT Std"/>
          <w:sz w:val="24"/>
          <w:szCs w:val="24"/>
        </w:rPr>
        <w:t xml:space="preserve"> and Haringey</w:t>
      </w:r>
      <w:r w:rsidR="001A6EFC">
        <w:rPr>
          <w:rFonts w:ascii="HelveticaNeueLT Std" w:hAnsi="HelveticaNeueLT Std"/>
          <w:sz w:val="24"/>
          <w:szCs w:val="24"/>
        </w:rPr>
        <w:t xml:space="preserve"> Council’s</w:t>
      </w:r>
      <w:r>
        <w:rPr>
          <w:rFonts w:ascii="HelveticaNeueLT Std" w:hAnsi="HelveticaNeueLT Std"/>
          <w:sz w:val="24"/>
          <w:szCs w:val="24"/>
        </w:rPr>
        <w:t xml:space="preserve"> emerging </w:t>
      </w:r>
      <w:r w:rsidRPr="001A6EFC">
        <w:rPr>
          <w:rFonts w:ascii="HelveticaNeueLT Std" w:hAnsi="HelveticaNeueLT Std"/>
          <w:b/>
          <w:sz w:val="24"/>
          <w:szCs w:val="24"/>
        </w:rPr>
        <w:t>Site Allocations DPD</w:t>
      </w:r>
      <w:r>
        <w:rPr>
          <w:rFonts w:ascii="HelveticaNeueLT Std" w:hAnsi="HelveticaNeueLT Std"/>
          <w:sz w:val="24"/>
          <w:szCs w:val="24"/>
        </w:rPr>
        <w:t xml:space="preserve">. The </w:t>
      </w:r>
      <w:r w:rsidR="00DA216D">
        <w:rPr>
          <w:rFonts w:ascii="HelveticaNeueLT Std" w:hAnsi="HelveticaNeueLT Std"/>
          <w:sz w:val="24"/>
          <w:szCs w:val="24"/>
        </w:rPr>
        <w:t xml:space="preserve">correspondence </w:t>
      </w:r>
      <w:r>
        <w:rPr>
          <w:rFonts w:ascii="HelveticaNeueLT Std" w:hAnsi="HelveticaNeueLT Std"/>
          <w:sz w:val="24"/>
          <w:szCs w:val="24"/>
        </w:rPr>
        <w:t xml:space="preserve">has </w:t>
      </w:r>
      <w:r w:rsidR="00DA216D">
        <w:rPr>
          <w:rFonts w:ascii="HelveticaNeueLT Std" w:hAnsi="HelveticaNeueLT Std"/>
          <w:sz w:val="24"/>
          <w:szCs w:val="24"/>
        </w:rPr>
        <w:t xml:space="preserve">been </w:t>
      </w:r>
      <w:r>
        <w:rPr>
          <w:rFonts w:ascii="HelveticaNeueLT Std" w:hAnsi="HelveticaNeueLT Std"/>
          <w:sz w:val="24"/>
          <w:szCs w:val="24"/>
        </w:rPr>
        <w:t>published at the request of the Examiner.</w:t>
      </w:r>
    </w:p>
    <w:p w:rsidR="006E7551" w:rsidRDefault="006E7551">
      <w:pPr>
        <w:rPr>
          <w:rFonts w:ascii="HelveticaNeueLT Std" w:hAnsi="HelveticaNeueLT Std" w:cs="Tahoma"/>
          <w:b/>
          <w:bCs/>
          <w:lang w:val="en-US"/>
        </w:rPr>
      </w:pPr>
      <w:r>
        <w:rPr>
          <w:rFonts w:ascii="HelveticaNeueLT Std" w:hAnsi="HelveticaNeueLT Std" w:cs="Tahoma"/>
          <w:b/>
          <w:bCs/>
          <w:lang w:val="en-US"/>
        </w:rPr>
        <w:br w:type="page"/>
      </w:r>
    </w:p>
    <w:p w:rsidR="006E7551" w:rsidRPr="006E7551" w:rsidRDefault="006E7551" w:rsidP="006E7551">
      <w:pPr>
        <w:outlineLvl w:val="0"/>
        <w:rPr>
          <w:rFonts w:ascii="HelveticaNeueLT Std" w:hAnsi="HelveticaNeueLT Std" w:cs="Tahoma"/>
          <w:lang w:val="en-US"/>
        </w:rPr>
      </w:pPr>
      <w:r w:rsidRPr="006E7551">
        <w:rPr>
          <w:rFonts w:ascii="HelveticaNeueLT Std" w:hAnsi="HelveticaNeueLT Std" w:cs="Tahoma"/>
          <w:b/>
          <w:bCs/>
          <w:lang w:val="en-US"/>
        </w:rPr>
        <w:lastRenderedPageBreak/>
        <w:t>From:</w:t>
      </w:r>
      <w:r w:rsidRPr="006E7551">
        <w:rPr>
          <w:rFonts w:ascii="HelveticaNeueLT Std" w:hAnsi="HelveticaNeueLT Std" w:cs="Tahoma"/>
          <w:lang w:val="en-US"/>
        </w:rPr>
        <w:t xml:space="preserve"> Steve Carnaby </w:t>
      </w:r>
      <w:r w:rsidRPr="006E7551">
        <w:rPr>
          <w:rFonts w:ascii="HelveticaNeueLT Std" w:hAnsi="HelveticaNeueLT Std" w:cs="Tahoma"/>
          <w:lang w:val="en-US"/>
        </w:rPr>
        <w:br/>
      </w:r>
      <w:r w:rsidRPr="006E7551">
        <w:rPr>
          <w:rFonts w:ascii="HelveticaNeueLT Std" w:hAnsi="HelveticaNeueLT Std" w:cs="Tahoma"/>
          <w:b/>
          <w:bCs/>
          <w:lang w:val="en-US"/>
        </w:rPr>
        <w:t>Sent:</w:t>
      </w:r>
      <w:r w:rsidRPr="006E7551">
        <w:rPr>
          <w:rFonts w:ascii="HelveticaNeueLT Std" w:hAnsi="HelveticaNeueLT Std" w:cs="Tahoma"/>
          <w:lang w:val="en-US"/>
        </w:rPr>
        <w:t xml:space="preserve"> 27 January 2017 </w:t>
      </w:r>
      <w:r w:rsidRPr="006E7551">
        <w:rPr>
          <w:rFonts w:ascii="HelveticaNeueLT Std" w:hAnsi="HelveticaNeueLT Std" w:cs="Tahoma"/>
          <w:lang w:val="en-US"/>
        </w:rPr>
        <w:br/>
      </w:r>
      <w:proofErr w:type="gramStart"/>
      <w:r w:rsidRPr="006E7551">
        <w:rPr>
          <w:rFonts w:ascii="HelveticaNeueLT Std" w:hAnsi="HelveticaNeueLT Std" w:cs="Tahoma"/>
          <w:b/>
          <w:bCs/>
          <w:lang w:val="en-US"/>
        </w:rPr>
        <w:t>To</w:t>
      </w:r>
      <w:proofErr w:type="gramEnd"/>
      <w:r w:rsidRPr="006E7551">
        <w:rPr>
          <w:rFonts w:ascii="HelveticaNeueLT Std" w:hAnsi="HelveticaNeueLT Std" w:cs="Tahoma"/>
          <w:b/>
          <w:bCs/>
          <w:lang w:val="en-US"/>
        </w:rPr>
        <w:t>:</w:t>
      </w:r>
      <w:r w:rsidRPr="006E7551">
        <w:rPr>
          <w:rFonts w:ascii="HelveticaNeueLT Std" w:hAnsi="HelveticaNeueLT Std" w:cs="Tahoma"/>
          <w:lang w:val="en-US"/>
        </w:rPr>
        <w:t xml:space="preserve"> 'Maggy Meade-King'; Triggs, Andrew</w:t>
      </w:r>
      <w:r w:rsidRPr="006E7551">
        <w:rPr>
          <w:rFonts w:ascii="HelveticaNeueLT Std" w:hAnsi="HelveticaNeueLT Std" w:cs="Tahoma"/>
          <w:lang w:val="en-US"/>
        </w:rPr>
        <w:br/>
      </w:r>
      <w:r w:rsidRPr="006E7551">
        <w:rPr>
          <w:rFonts w:ascii="HelveticaNeueLT Std" w:hAnsi="HelveticaNeueLT Std" w:cs="Tahoma"/>
          <w:b/>
          <w:bCs/>
          <w:lang w:val="en-US"/>
        </w:rPr>
        <w:t>Subject:</w:t>
      </w:r>
      <w:r w:rsidRPr="006E7551">
        <w:rPr>
          <w:rFonts w:ascii="HelveticaNeueLT Std" w:hAnsi="HelveticaNeueLT Std" w:cs="Tahoma"/>
          <w:lang w:val="en-US"/>
        </w:rPr>
        <w:t xml:space="preserve"> Policy KS3: </w:t>
      </w:r>
      <w:proofErr w:type="spellStart"/>
      <w:r w:rsidRPr="006E7551">
        <w:rPr>
          <w:rFonts w:ascii="HelveticaNeueLT Std" w:hAnsi="HelveticaNeueLT Std" w:cs="Tahoma"/>
          <w:lang w:val="en-US"/>
        </w:rPr>
        <w:t>Highgate</w:t>
      </w:r>
      <w:proofErr w:type="spellEnd"/>
      <w:r w:rsidRPr="006E7551">
        <w:rPr>
          <w:rFonts w:ascii="HelveticaNeueLT Std" w:hAnsi="HelveticaNeueLT Std" w:cs="Tahoma"/>
          <w:lang w:val="en-US"/>
        </w:rPr>
        <w:t xml:space="preserve"> Bowl </w:t>
      </w:r>
    </w:p>
    <w:p w:rsidR="006E7551" w:rsidRPr="006E7551" w:rsidRDefault="006E7551" w:rsidP="006E7551">
      <w:pPr>
        <w:rPr>
          <w:rFonts w:ascii="HelveticaNeueLT Std" w:hAnsi="HelveticaNeueLT Std"/>
        </w:rPr>
      </w:pPr>
      <w:r w:rsidRPr="006E7551">
        <w:rPr>
          <w:rFonts w:ascii="HelveticaNeueLT Std" w:hAnsi="HelveticaNeueLT Std"/>
        </w:rPr>
        <w:t xml:space="preserve">Good morning Maggie, </w:t>
      </w:r>
    </w:p>
    <w:p w:rsidR="006E7551" w:rsidRPr="006E7551" w:rsidRDefault="006E7551" w:rsidP="006E7551">
      <w:pPr>
        <w:rPr>
          <w:rFonts w:ascii="HelveticaNeueLT Std" w:hAnsi="HelveticaNeueLT Std"/>
        </w:rPr>
      </w:pPr>
      <w:r w:rsidRPr="006E7551">
        <w:rPr>
          <w:rFonts w:ascii="HelveticaNeueLT Std" w:hAnsi="HelveticaNeueLT Std"/>
        </w:rPr>
        <w:t xml:space="preserve">The examiner is aware from the latest response to </w:t>
      </w:r>
      <w:proofErr w:type="spellStart"/>
      <w:r w:rsidRPr="006E7551">
        <w:rPr>
          <w:rFonts w:ascii="HelveticaNeueLT Std" w:hAnsi="HelveticaNeueLT Std"/>
        </w:rPr>
        <w:t>Reg</w:t>
      </w:r>
      <w:proofErr w:type="spellEnd"/>
      <w:r w:rsidRPr="006E7551">
        <w:rPr>
          <w:rFonts w:ascii="HelveticaNeueLT Std" w:hAnsi="HelveticaNeueLT Std"/>
        </w:rPr>
        <w:t xml:space="preserve"> 16 comments that the Inspector examining the emerging Haringey Local Plan (site allocations) reached some presumably interim conclusions on its status.  These are summarised on Page 67 of the latest document from the Forum to the examiner with comments from Haringey.</w:t>
      </w:r>
    </w:p>
    <w:p w:rsidR="006E7551" w:rsidRPr="006E7551" w:rsidRDefault="006E7551" w:rsidP="006E7551">
      <w:pPr>
        <w:rPr>
          <w:rFonts w:ascii="HelveticaNeueLT Std" w:hAnsi="HelveticaNeueLT Std"/>
        </w:rPr>
      </w:pPr>
      <w:r w:rsidRPr="006E7551">
        <w:rPr>
          <w:rFonts w:ascii="HelveticaNeueLT Std" w:hAnsi="HelveticaNeueLT Std"/>
        </w:rPr>
        <w:t>In summary, Key Site 3, Highgate Bowl, corresponds to Haringey’s emerging Policy SA42.  However, the Inspector at Haringey Local Plan examination has advised that the open space within the area is previously developed land and cannot be designated as Significant Local Open Space.  An open space area to be secured has been identified (apparently), and the Inspector has indicated that public access across the site or within any area designated in future as open space can only be supported, not required, by planning policy. </w:t>
      </w:r>
    </w:p>
    <w:p w:rsidR="006E7551" w:rsidRPr="006E7551" w:rsidRDefault="006E7551" w:rsidP="006E7551">
      <w:pPr>
        <w:rPr>
          <w:rFonts w:ascii="HelveticaNeueLT Std" w:hAnsi="HelveticaNeueLT Std"/>
        </w:rPr>
      </w:pPr>
      <w:r w:rsidRPr="006E7551">
        <w:rPr>
          <w:rFonts w:ascii="HelveticaNeueLT Std" w:hAnsi="HelveticaNeueLT Std"/>
        </w:rPr>
        <w:t xml:space="preserve">In view of this advice, the examiner considers that Policy KS3 and the map in Figure 18 in the NP should be modified to be in general conformity with latest evidence of Haringey’s emerging policy.  Therefore, as Page 67 of the latest note to the examiner refers to proposals to change LP Policy SA42 from the Highgate Neighbourhood Forum and associated Highgate voluntary associations, she wondered whether the Forum could send a copy of these so that she can understand the latest position on the Local Plan and can suggest an appropriate modification to the NP?  </w:t>
      </w:r>
    </w:p>
    <w:p w:rsidR="006E7551" w:rsidRPr="006E7551" w:rsidRDefault="006E7551" w:rsidP="006E7551">
      <w:pPr>
        <w:rPr>
          <w:rFonts w:ascii="HelveticaNeueLT Std" w:hAnsi="HelveticaNeueLT Std"/>
        </w:rPr>
      </w:pPr>
      <w:r w:rsidRPr="006E7551">
        <w:rPr>
          <w:rFonts w:ascii="HelveticaNeueLT Std" w:hAnsi="HelveticaNeueLT Std"/>
        </w:rPr>
        <w:t>Thanks in advance:</w:t>
      </w:r>
    </w:p>
    <w:p w:rsidR="006E7551" w:rsidRPr="006E7551" w:rsidRDefault="006E7551" w:rsidP="006E7551">
      <w:pPr>
        <w:spacing w:line="252" w:lineRule="auto"/>
        <w:rPr>
          <w:rFonts w:ascii="HelveticaNeueLT Std" w:hAnsi="HelveticaNeueLT Std"/>
        </w:rPr>
      </w:pPr>
      <w:r w:rsidRPr="006E7551">
        <w:rPr>
          <w:rFonts w:ascii="HelveticaNeueLT Std" w:hAnsi="HelveticaNeueLT Std"/>
        </w:rPr>
        <w:t>Steve Carnaby</w:t>
      </w:r>
      <w:r>
        <w:rPr>
          <w:rFonts w:ascii="HelveticaNeueLT Std" w:hAnsi="HelveticaNeueLT Std"/>
        </w:rPr>
        <w:br/>
      </w:r>
      <w:r w:rsidRPr="006E7551">
        <w:rPr>
          <w:rFonts w:ascii="HelveticaNeueLT Std" w:hAnsi="HelveticaNeueLT Std"/>
        </w:rPr>
        <w:t xml:space="preserve">Associate Director </w:t>
      </w:r>
    </w:p>
    <w:p w:rsidR="00B35603" w:rsidRPr="006E7551" w:rsidRDefault="006E7551" w:rsidP="006E7551">
      <w:pPr>
        <w:spacing w:line="252" w:lineRule="auto"/>
        <w:rPr>
          <w:rFonts w:ascii="HelveticaNeueLT Std" w:hAnsi="HelveticaNeueLT Std"/>
          <w:b/>
          <w:bCs/>
        </w:rPr>
      </w:pPr>
      <w:r w:rsidRPr="006E7551">
        <w:rPr>
          <w:rFonts w:ascii="HelveticaNeueLT Std" w:hAnsi="HelveticaNeueLT Std"/>
          <w:b/>
          <w:bCs/>
        </w:rPr>
        <w:t>Intelligent Plans and Examinations (IPE) Ltd</w:t>
      </w:r>
      <w:r w:rsidRPr="006E7551">
        <w:rPr>
          <w:rFonts w:ascii="HelveticaNeueLT Std" w:hAnsi="HelveticaNeueLT Std"/>
          <w:b/>
          <w:bCs/>
        </w:rPr>
        <w:br/>
        <w:t>Regency Offices</w:t>
      </w:r>
      <w:r w:rsidRPr="006E7551">
        <w:rPr>
          <w:rFonts w:ascii="HelveticaNeueLT Std" w:hAnsi="HelveticaNeueLT Std"/>
          <w:b/>
          <w:bCs/>
        </w:rPr>
        <w:br/>
        <w:t xml:space="preserve">3 </w:t>
      </w:r>
      <w:proofErr w:type="spellStart"/>
      <w:r w:rsidRPr="006E7551">
        <w:rPr>
          <w:rFonts w:ascii="HelveticaNeueLT Std" w:hAnsi="HelveticaNeueLT Std"/>
          <w:b/>
          <w:bCs/>
        </w:rPr>
        <w:t>Portwall</w:t>
      </w:r>
      <w:proofErr w:type="spellEnd"/>
      <w:r w:rsidRPr="006E7551">
        <w:rPr>
          <w:rFonts w:ascii="HelveticaNeueLT Std" w:hAnsi="HelveticaNeueLT Std"/>
          <w:b/>
          <w:bCs/>
        </w:rPr>
        <w:t xml:space="preserve"> Lane</w:t>
      </w:r>
      <w:r w:rsidRPr="006E7551">
        <w:rPr>
          <w:rFonts w:ascii="HelveticaNeueLT Std" w:hAnsi="HelveticaNeueLT Std"/>
          <w:b/>
          <w:bCs/>
        </w:rPr>
        <w:br/>
      </w:r>
      <w:proofErr w:type="gramStart"/>
      <w:r w:rsidRPr="006E7551">
        <w:rPr>
          <w:rFonts w:ascii="HelveticaNeueLT Std" w:hAnsi="HelveticaNeueLT Std"/>
          <w:b/>
          <w:bCs/>
        </w:rPr>
        <w:t>Bristol  BS1</w:t>
      </w:r>
      <w:proofErr w:type="gramEnd"/>
      <w:r w:rsidRPr="006E7551">
        <w:rPr>
          <w:rFonts w:ascii="HelveticaNeueLT Std" w:hAnsi="HelveticaNeueLT Std"/>
          <w:b/>
          <w:bCs/>
        </w:rPr>
        <w:t xml:space="preserve"> 6NB</w:t>
      </w:r>
    </w:p>
    <w:p w:rsidR="00B35603" w:rsidRDefault="00B35603"/>
    <w:tbl>
      <w:tblPr>
        <w:tblW w:w="14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1"/>
        <w:gridCol w:w="2486"/>
        <w:gridCol w:w="5073"/>
        <w:gridCol w:w="5074"/>
      </w:tblGrid>
      <w:tr w:rsidR="00B35603" w:rsidRPr="00B35603" w:rsidTr="00B35603">
        <w:tc>
          <w:tcPr>
            <w:tcW w:w="1541" w:type="dxa"/>
            <w:shd w:val="clear" w:color="auto" w:fill="000000"/>
          </w:tcPr>
          <w:p w:rsidR="00B35603" w:rsidRPr="00B35603" w:rsidRDefault="00B35603" w:rsidP="002C3B59">
            <w:pPr>
              <w:spacing w:after="0" w:line="240" w:lineRule="auto"/>
              <w:rPr>
                <w:rFonts w:ascii="HelveticaNeueLT Std" w:hAnsi="HelveticaNeueLT Std"/>
              </w:rPr>
            </w:pPr>
            <w:r w:rsidRPr="00B35603">
              <w:rPr>
                <w:rFonts w:ascii="HelveticaNeueLT Std" w:hAnsi="HelveticaNeueLT Std"/>
              </w:rPr>
              <w:lastRenderedPageBreak/>
              <w:t>Section</w:t>
            </w:r>
          </w:p>
        </w:tc>
        <w:tc>
          <w:tcPr>
            <w:tcW w:w="2486" w:type="dxa"/>
            <w:shd w:val="clear" w:color="auto" w:fill="000000"/>
          </w:tcPr>
          <w:p w:rsidR="00B35603" w:rsidRPr="00B35603" w:rsidRDefault="00B35603" w:rsidP="002C3B59">
            <w:pPr>
              <w:spacing w:after="0" w:line="240" w:lineRule="auto"/>
              <w:rPr>
                <w:rFonts w:ascii="HelveticaNeueLT Std" w:hAnsi="HelveticaNeueLT Std"/>
              </w:rPr>
            </w:pPr>
            <w:r w:rsidRPr="00B35603">
              <w:rPr>
                <w:rFonts w:ascii="HelveticaNeueLT Std" w:hAnsi="HelveticaNeueLT Std"/>
              </w:rPr>
              <w:t>Camden response</w:t>
            </w:r>
          </w:p>
        </w:tc>
        <w:tc>
          <w:tcPr>
            <w:tcW w:w="5073" w:type="dxa"/>
            <w:shd w:val="clear" w:color="auto" w:fill="000000"/>
          </w:tcPr>
          <w:p w:rsidR="00B35603" w:rsidRPr="00B35603" w:rsidRDefault="00B35603" w:rsidP="002C3B59">
            <w:pPr>
              <w:spacing w:after="0" w:line="240" w:lineRule="auto"/>
              <w:rPr>
                <w:rFonts w:ascii="HelveticaNeueLT Std" w:hAnsi="HelveticaNeueLT Std"/>
              </w:rPr>
            </w:pPr>
            <w:r w:rsidRPr="00B35603">
              <w:rPr>
                <w:rFonts w:ascii="HelveticaNeueLT Std" w:hAnsi="HelveticaNeueLT Std"/>
              </w:rPr>
              <w:t>Haringey response</w:t>
            </w:r>
          </w:p>
        </w:tc>
        <w:tc>
          <w:tcPr>
            <w:tcW w:w="5074" w:type="dxa"/>
            <w:tcBorders>
              <w:bottom w:val="single" w:sz="4" w:space="0" w:color="auto"/>
            </w:tcBorders>
            <w:shd w:val="clear" w:color="auto" w:fill="000000"/>
          </w:tcPr>
          <w:p w:rsidR="00B35603" w:rsidRPr="00B35603" w:rsidRDefault="00B35603" w:rsidP="002C3B59">
            <w:pPr>
              <w:spacing w:after="0" w:line="240" w:lineRule="auto"/>
              <w:rPr>
                <w:rFonts w:ascii="HelveticaNeueLT Std" w:hAnsi="HelveticaNeueLT Std"/>
              </w:rPr>
            </w:pPr>
            <w:r w:rsidRPr="00B35603">
              <w:rPr>
                <w:rFonts w:ascii="HelveticaNeueLT Std" w:hAnsi="HelveticaNeueLT Std"/>
              </w:rPr>
              <w:t>Forum response</w:t>
            </w:r>
          </w:p>
        </w:tc>
      </w:tr>
      <w:tr w:rsidR="00B35603" w:rsidRPr="00B35603" w:rsidTr="00B35603">
        <w:tc>
          <w:tcPr>
            <w:tcW w:w="1541" w:type="dxa"/>
            <w:shd w:val="clear" w:color="auto" w:fill="auto"/>
          </w:tcPr>
          <w:p w:rsidR="00B35603" w:rsidRPr="00B35603" w:rsidRDefault="00B35603" w:rsidP="00B35603">
            <w:pPr>
              <w:spacing w:after="0" w:line="240" w:lineRule="auto"/>
              <w:jc w:val="center"/>
              <w:rPr>
                <w:rFonts w:ascii="HelveticaNeueLT Std" w:hAnsi="HelveticaNeueLT Std" w:cs="Arial"/>
              </w:rPr>
            </w:pPr>
            <w:r w:rsidRPr="00B35603">
              <w:rPr>
                <w:rFonts w:ascii="HelveticaNeueLT Std" w:hAnsi="HelveticaNeueLT Std" w:cs="Arial"/>
              </w:rPr>
              <w:t>KS3</w:t>
            </w:r>
          </w:p>
        </w:tc>
        <w:tc>
          <w:tcPr>
            <w:tcW w:w="2486" w:type="dxa"/>
            <w:shd w:val="clear" w:color="auto" w:fill="auto"/>
          </w:tcPr>
          <w:p w:rsidR="00B35603" w:rsidRPr="00B35603" w:rsidRDefault="00B35603" w:rsidP="002C3B59">
            <w:pPr>
              <w:autoSpaceDE w:val="0"/>
              <w:autoSpaceDN w:val="0"/>
              <w:adjustRightInd w:val="0"/>
              <w:spacing w:after="0" w:line="240" w:lineRule="auto"/>
              <w:rPr>
                <w:rFonts w:ascii="HelveticaNeueLT Std" w:hAnsi="HelveticaNeueLT Std" w:cs="Arial"/>
              </w:rPr>
            </w:pPr>
            <w:r>
              <w:rPr>
                <w:rFonts w:ascii="HelveticaNeueLT Std" w:hAnsi="HelveticaNeueLT Std" w:cs="Arial"/>
              </w:rPr>
              <w:t>No comments.</w:t>
            </w:r>
            <w:r w:rsidR="008030B8">
              <w:rPr>
                <w:rFonts w:ascii="HelveticaNeueLT Std" w:hAnsi="HelveticaNeueLT Std" w:cs="Arial"/>
              </w:rPr>
              <w:t xml:space="preserve"> The site is not in LB Camden. </w:t>
            </w:r>
          </w:p>
        </w:tc>
        <w:tc>
          <w:tcPr>
            <w:tcW w:w="5073" w:type="dxa"/>
            <w:shd w:val="clear" w:color="auto" w:fill="auto"/>
          </w:tcPr>
          <w:p w:rsidR="006E7551" w:rsidRDefault="006E7551" w:rsidP="00B35603">
            <w:pPr>
              <w:tabs>
                <w:tab w:val="left" w:pos="3182"/>
              </w:tabs>
              <w:spacing w:after="0" w:line="240" w:lineRule="auto"/>
              <w:rPr>
                <w:rFonts w:ascii="HelveticaNeueLT Std" w:hAnsi="HelveticaNeueLT Std"/>
                <w:i/>
              </w:rPr>
            </w:pPr>
            <w:r w:rsidRPr="006E7551">
              <w:rPr>
                <w:rFonts w:ascii="HelveticaNeueLT Std" w:hAnsi="HelveticaNeueLT Std"/>
                <w:i/>
              </w:rPr>
              <w:t>Submitted to Intelligent Plans via email on 27</w:t>
            </w:r>
            <w:r w:rsidRPr="006E7551">
              <w:rPr>
                <w:rFonts w:ascii="HelveticaNeueLT Std" w:hAnsi="HelveticaNeueLT Std"/>
                <w:i/>
                <w:vertAlign w:val="superscript"/>
              </w:rPr>
              <w:t>th</w:t>
            </w:r>
            <w:r w:rsidRPr="006E7551">
              <w:rPr>
                <w:rFonts w:ascii="HelveticaNeueLT Std" w:hAnsi="HelveticaNeueLT Std"/>
                <w:i/>
              </w:rPr>
              <w:t xml:space="preserve"> January 2017</w:t>
            </w:r>
          </w:p>
          <w:p w:rsidR="006E7551" w:rsidRDefault="006E7551" w:rsidP="00B35603">
            <w:pPr>
              <w:tabs>
                <w:tab w:val="left" w:pos="3182"/>
              </w:tabs>
              <w:spacing w:after="0" w:line="240" w:lineRule="auto"/>
              <w:rPr>
                <w:rFonts w:ascii="HelveticaNeueLT Std" w:hAnsi="HelveticaNeueLT Std"/>
                <w:i/>
              </w:rPr>
            </w:pPr>
          </w:p>
          <w:p w:rsidR="006E7551" w:rsidRPr="006E7551" w:rsidRDefault="006E7551" w:rsidP="00B35603">
            <w:pPr>
              <w:tabs>
                <w:tab w:val="left" w:pos="3182"/>
              </w:tabs>
              <w:spacing w:after="0" w:line="240" w:lineRule="auto"/>
              <w:rPr>
                <w:rFonts w:ascii="HelveticaNeueLT Std" w:hAnsi="HelveticaNeueLT Std"/>
              </w:rPr>
            </w:pPr>
            <w:r w:rsidRPr="006E7551">
              <w:rPr>
                <w:rFonts w:ascii="HelveticaNeueLT Std" w:hAnsi="HelveticaNeueLT Std"/>
                <w:b/>
              </w:rPr>
              <w:t>Subject:</w:t>
            </w:r>
            <w:r w:rsidRPr="006E7551">
              <w:rPr>
                <w:rFonts w:ascii="HelveticaNeueLT Std" w:hAnsi="HelveticaNeueLT Std"/>
              </w:rPr>
              <w:t xml:space="preserve"> Policy KS3: Highgate Bowl</w:t>
            </w:r>
          </w:p>
          <w:p w:rsidR="006E7551" w:rsidRDefault="006E7551" w:rsidP="00B35603">
            <w:pPr>
              <w:tabs>
                <w:tab w:val="left" w:pos="3182"/>
              </w:tabs>
              <w:spacing w:after="0" w:line="240" w:lineRule="auto"/>
              <w:rPr>
                <w:rFonts w:ascii="HelveticaNeueLT Std" w:hAnsi="HelveticaNeueLT Std"/>
              </w:rPr>
            </w:pPr>
          </w:p>
          <w:p w:rsidR="003A74B2" w:rsidRDefault="003A74B2" w:rsidP="00B35603">
            <w:pPr>
              <w:tabs>
                <w:tab w:val="left" w:pos="3182"/>
              </w:tabs>
              <w:spacing w:after="0" w:line="240" w:lineRule="auto"/>
              <w:rPr>
                <w:rFonts w:ascii="HelveticaNeueLT Std" w:hAnsi="HelveticaNeueLT Std"/>
              </w:rPr>
            </w:pPr>
            <w:r>
              <w:rPr>
                <w:rFonts w:ascii="HelveticaNeueLT Std" w:hAnsi="HelveticaNeueLT Std"/>
              </w:rPr>
              <w:t>Hi Steve</w:t>
            </w:r>
          </w:p>
          <w:p w:rsidR="003A74B2" w:rsidRDefault="003A74B2" w:rsidP="00B35603">
            <w:pPr>
              <w:tabs>
                <w:tab w:val="left" w:pos="3182"/>
              </w:tabs>
              <w:spacing w:after="0" w:line="240" w:lineRule="auto"/>
              <w:rPr>
                <w:rFonts w:ascii="HelveticaNeueLT Std" w:hAnsi="HelveticaNeueLT Std"/>
              </w:rPr>
            </w:pPr>
          </w:p>
          <w:p w:rsidR="00B35603" w:rsidRPr="00B35603" w:rsidRDefault="00B35603" w:rsidP="00B35603">
            <w:pPr>
              <w:tabs>
                <w:tab w:val="left" w:pos="3182"/>
              </w:tabs>
              <w:spacing w:after="0" w:line="240" w:lineRule="auto"/>
              <w:rPr>
                <w:rFonts w:ascii="HelveticaNeueLT Std" w:hAnsi="HelveticaNeueLT Std"/>
              </w:rPr>
            </w:pPr>
            <w:r w:rsidRPr="00B35603">
              <w:rPr>
                <w:rFonts w:ascii="HelveticaNeueLT Std" w:hAnsi="HelveticaNeueLT Std"/>
              </w:rPr>
              <w:t>Further to your email below I have attached the Schedule of the Inspector’s Main Modifications to the Site Allocations DPD. The modifications were published for public consultation on 18</w:t>
            </w:r>
            <w:r w:rsidRPr="00B35603">
              <w:rPr>
                <w:rFonts w:ascii="HelveticaNeueLT Std" w:hAnsi="HelveticaNeueLT Std"/>
                <w:vertAlign w:val="superscript"/>
              </w:rPr>
              <w:t>th</w:t>
            </w:r>
            <w:r w:rsidRPr="00B35603">
              <w:rPr>
                <w:rFonts w:ascii="HelveticaNeueLT Std" w:hAnsi="HelveticaNeueLT Std"/>
              </w:rPr>
              <w:t> November 2016, running eight weeks to 13</w:t>
            </w:r>
            <w:r w:rsidRPr="00B35603">
              <w:rPr>
                <w:rFonts w:ascii="HelveticaNeueLT Std" w:hAnsi="HelveticaNeueLT Std"/>
                <w:vertAlign w:val="superscript"/>
              </w:rPr>
              <w:t>th</w:t>
            </w:r>
            <w:r w:rsidRPr="00B35603">
              <w:rPr>
                <w:rFonts w:ascii="HelveticaNeueLT Std" w:hAnsi="HelveticaNeueLT Std"/>
              </w:rPr>
              <w:t> January 2017. We anticipate submitting all of the representations received and the Council’s consultation statement on these to the Planning Inspector next week.</w:t>
            </w:r>
          </w:p>
          <w:p w:rsidR="00B35603" w:rsidRPr="00B35603" w:rsidRDefault="00B35603" w:rsidP="00B35603">
            <w:pPr>
              <w:tabs>
                <w:tab w:val="left" w:pos="3182"/>
              </w:tabs>
              <w:spacing w:after="0" w:line="240" w:lineRule="auto"/>
              <w:rPr>
                <w:rFonts w:ascii="HelveticaNeueLT Std" w:hAnsi="HelveticaNeueLT Std"/>
              </w:rPr>
            </w:pPr>
            <w:r w:rsidRPr="00B35603">
              <w:rPr>
                <w:rFonts w:ascii="HelveticaNeueLT Std" w:hAnsi="HelveticaNeueLT Std"/>
              </w:rPr>
              <w:t> </w:t>
            </w:r>
          </w:p>
          <w:p w:rsidR="00B35603" w:rsidRDefault="00B35603" w:rsidP="00B35603">
            <w:pPr>
              <w:tabs>
                <w:tab w:val="left" w:pos="3182"/>
              </w:tabs>
              <w:spacing w:after="0" w:line="240" w:lineRule="auto"/>
              <w:rPr>
                <w:rFonts w:ascii="HelveticaNeueLT Std" w:hAnsi="HelveticaNeueLT Std"/>
              </w:rPr>
            </w:pPr>
            <w:r w:rsidRPr="00B35603">
              <w:rPr>
                <w:rFonts w:ascii="HelveticaNeueLT Std" w:hAnsi="HelveticaNeueLT Std"/>
              </w:rPr>
              <w:t>Please note Main Modification references SAMod80-SAMod85 and MapMod1 in the schedule, all of which concern Policy SA42 (Highgate Bowl).</w:t>
            </w:r>
          </w:p>
          <w:p w:rsidR="00B35603" w:rsidRDefault="00B35603" w:rsidP="00B35603">
            <w:pPr>
              <w:tabs>
                <w:tab w:val="left" w:pos="3182"/>
              </w:tabs>
              <w:spacing w:after="0" w:line="240" w:lineRule="auto"/>
              <w:rPr>
                <w:rFonts w:ascii="HelveticaNeueLT Std" w:hAnsi="HelveticaNeueLT Std"/>
              </w:rPr>
            </w:pPr>
          </w:p>
          <w:p w:rsidR="006E7551" w:rsidRDefault="006E7551" w:rsidP="00B35603">
            <w:pPr>
              <w:tabs>
                <w:tab w:val="left" w:pos="3182"/>
              </w:tabs>
              <w:spacing w:after="0" w:line="240" w:lineRule="auto"/>
              <w:rPr>
                <w:rFonts w:ascii="HelveticaNeueLT Std" w:hAnsi="HelveticaNeueLT Std"/>
                <w:i/>
              </w:rPr>
            </w:pPr>
          </w:p>
          <w:p w:rsidR="00B35603" w:rsidRDefault="006E7551" w:rsidP="00B35603">
            <w:pPr>
              <w:tabs>
                <w:tab w:val="left" w:pos="3182"/>
              </w:tabs>
              <w:spacing w:after="0" w:line="240" w:lineRule="auto"/>
              <w:rPr>
                <w:rFonts w:ascii="HelveticaNeueLT Std" w:hAnsi="HelveticaNeueLT Std"/>
                <w:i/>
              </w:rPr>
            </w:pPr>
            <w:r>
              <w:rPr>
                <w:rFonts w:ascii="HelveticaNeueLT Std" w:hAnsi="HelveticaNeueLT Std"/>
                <w:i/>
              </w:rPr>
              <w:t>Note –</w:t>
            </w:r>
            <w:r w:rsidR="00B35603" w:rsidRPr="00B35603">
              <w:rPr>
                <w:rFonts w:ascii="HelveticaNeueLT Std" w:hAnsi="HelveticaNeueLT Std"/>
                <w:i/>
              </w:rPr>
              <w:t xml:space="preserve"> </w:t>
            </w:r>
            <w:r>
              <w:rPr>
                <w:rFonts w:ascii="HelveticaNeueLT Std" w:hAnsi="HelveticaNeueLT Std"/>
                <w:i/>
              </w:rPr>
              <w:t xml:space="preserve">The </w:t>
            </w:r>
            <w:r w:rsidR="00B35603" w:rsidRPr="00B35603">
              <w:rPr>
                <w:rFonts w:ascii="HelveticaNeueLT Std" w:hAnsi="HelveticaNeueLT Std"/>
                <w:i/>
              </w:rPr>
              <w:t>Schedule of Main Modifications referred above</w:t>
            </w:r>
            <w:r>
              <w:rPr>
                <w:rFonts w:ascii="HelveticaNeueLT Std" w:hAnsi="HelveticaNeueLT Std"/>
                <w:i/>
              </w:rPr>
              <w:t xml:space="preserve"> can accessed online using the following link:</w:t>
            </w:r>
          </w:p>
          <w:p w:rsidR="009077E1" w:rsidRDefault="009077E1" w:rsidP="00B35603">
            <w:pPr>
              <w:tabs>
                <w:tab w:val="left" w:pos="3182"/>
              </w:tabs>
              <w:spacing w:after="0" w:line="240" w:lineRule="auto"/>
              <w:rPr>
                <w:rFonts w:ascii="HelveticaNeueLT Std" w:hAnsi="HelveticaNeueLT Std"/>
                <w:i/>
              </w:rPr>
            </w:pPr>
          </w:p>
          <w:p w:rsidR="009077E1" w:rsidRDefault="00074E77" w:rsidP="00B35603">
            <w:pPr>
              <w:tabs>
                <w:tab w:val="left" w:pos="3182"/>
              </w:tabs>
              <w:spacing w:after="0" w:line="240" w:lineRule="auto"/>
              <w:rPr>
                <w:rFonts w:ascii="HelveticaNeueLT Std" w:hAnsi="HelveticaNeueLT Std"/>
                <w:i/>
              </w:rPr>
            </w:pPr>
            <w:hyperlink r:id="rId6" w:history="1">
              <w:r w:rsidR="009077E1" w:rsidRPr="00FF7512">
                <w:rPr>
                  <w:rStyle w:val="Hyperlink"/>
                  <w:rFonts w:ascii="HelveticaNeueLT Std" w:hAnsi="HelveticaNeueLT Std"/>
                  <w:i/>
                </w:rPr>
                <w:t>http://www.haringey.gov.uk/planning-and-building-control/planning/planning-policy/neighbourhood-planning/highgate-neighbourhood-forum-and-area</w:t>
              </w:r>
            </w:hyperlink>
          </w:p>
          <w:p w:rsidR="009077E1" w:rsidRDefault="009077E1" w:rsidP="00B35603">
            <w:pPr>
              <w:tabs>
                <w:tab w:val="left" w:pos="3182"/>
              </w:tabs>
              <w:spacing w:after="0" w:line="240" w:lineRule="auto"/>
              <w:rPr>
                <w:rFonts w:ascii="HelveticaNeueLT Std" w:hAnsi="HelveticaNeueLT Std"/>
                <w:i/>
              </w:rPr>
            </w:pPr>
          </w:p>
          <w:p w:rsidR="006E7551" w:rsidRDefault="006E7551" w:rsidP="00B35603">
            <w:pPr>
              <w:tabs>
                <w:tab w:val="left" w:pos="3182"/>
              </w:tabs>
              <w:spacing w:after="0" w:line="240" w:lineRule="auto"/>
              <w:rPr>
                <w:rFonts w:ascii="HelveticaNeueLT Std" w:hAnsi="HelveticaNeueLT Std"/>
                <w:i/>
              </w:rPr>
            </w:pPr>
          </w:p>
          <w:p w:rsidR="006E7551" w:rsidRPr="00B35603" w:rsidRDefault="006E7551" w:rsidP="00B35603">
            <w:pPr>
              <w:tabs>
                <w:tab w:val="left" w:pos="3182"/>
              </w:tabs>
              <w:spacing w:after="0" w:line="240" w:lineRule="auto"/>
              <w:rPr>
                <w:rFonts w:ascii="HelveticaNeueLT Std" w:hAnsi="HelveticaNeueLT Std"/>
                <w:i/>
              </w:rPr>
            </w:pPr>
          </w:p>
          <w:p w:rsidR="00B35603" w:rsidRDefault="00B35603" w:rsidP="00B35603">
            <w:pPr>
              <w:tabs>
                <w:tab w:val="left" w:pos="3182"/>
              </w:tabs>
              <w:spacing w:after="0" w:line="240" w:lineRule="auto"/>
              <w:rPr>
                <w:rFonts w:ascii="HelveticaNeueLT Std" w:hAnsi="HelveticaNeueLT Std"/>
              </w:rPr>
            </w:pPr>
          </w:p>
          <w:p w:rsidR="00B35603" w:rsidRPr="00B35603" w:rsidRDefault="00B35603" w:rsidP="00B35603">
            <w:pPr>
              <w:tabs>
                <w:tab w:val="left" w:pos="3182"/>
              </w:tabs>
              <w:spacing w:after="0" w:line="240" w:lineRule="auto"/>
              <w:rPr>
                <w:rFonts w:ascii="HelveticaNeueLT Std" w:hAnsi="HelveticaNeueLT Std"/>
              </w:rPr>
            </w:pPr>
          </w:p>
          <w:p w:rsidR="00B35603" w:rsidRPr="00B35603" w:rsidRDefault="00B35603" w:rsidP="002C3B59">
            <w:pPr>
              <w:tabs>
                <w:tab w:val="left" w:pos="3182"/>
              </w:tabs>
              <w:spacing w:after="0" w:line="240" w:lineRule="auto"/>
              <w:rPr>
                <w:rFonts w:ascii="HelveticaNeueLT Std" w:hAnsi="HelveticaNeueLT Std"/>
              </w:rPr>
            </w:pPr>
          </w:p>
        </w:tc>
        <w:tc>
          <w:tcPr>
            <w:tcW w:w="5074" w:type="dxa"/>
            <w:tcBorders>
              <w:bottom w:val="single" w:sz="4" w:space="0" w:color="auto"/>
            </w:tcBorders>
            <w:shd w:val="clear" w:color="auto" w:fill="auto"/>
          </w:tcPr>
          <w:p w:rsidR="006E7551" w:rsidRDefault="006E7551" w:rsidP="006E7551">
            <w:pPr>
              <w:tabs>
                <w:tab w:val="left" w:pos="3182"/>
              </w:tabs>
              <w:spacing w:after="0" w:line="240" w:lineRule="auto"/>
              <w:rPr>
                <w:rFonts w:ascii="HelveticaNeueLT Std" w:hAnsi="HelveticaNeueLT Std"/>
                <w:i/>
              </w:rPr>
            </w:pPr>
            <w:r w:rsidRPr="006E7551">
              <w:rPr>
                <w:rFonts w:ascii="HelveticaNeueLT Std" w:hAnsi="HelveticaNeueLT Std"/>
                <w:i/>
              </w:rPr>
              <w:lastRenderedPageBreak/>
              <w:t xml:space="preserve">Submitted to Intelligent Plans via email on </w:t>
            </w:r>
            <w:r>
              <w:rPr>
                <w:rFonts w:ascii="HelveticaNeueLT Std" w:hAnsi="HelveticaNeueLT Std"/>
                <w:i/>
              </w:rPr>
              <w:t>30</w:t>
            </w:r>
            <w:r w:rsidRPr="006E7551">
              <w:rPr>
                <w:rFonts w:ascii="HelveticaNeueLT Std" w:hAnsi="HelveticaNeueLT Std"/>
                <w:i/>
                <w:vertAlign w:val="superscript"/>
              </w:rPr>
              <w:t>th</w:t>
            </w:r>
            <w:r w:rsidRPr="006E7551">
              <w:rPr>
                <w:rFonts w:ascii="HelveticaNeueLT Std" w:hAnsi="HelveticaNeueLT Std"/>
                <w:i/>
              </w:rPr>
              <w:t xml:space="preserve"> January 2017</w:t>
            </w:r>
          </w:p>
          <w:p w:rsidR="006E7551" w:rsidRPr="006E7551" w:rsidRDefault="006E7551" w:rsidP="006E7551">
            <w:pPr>
              <w:tabs>
                <w:tab w:val="left" w:pos="3182"/>
              </w:tabs>
              <w:spacing w:after="0" w:line="240" w:lineRule="auto"/>
              <w:rPr>
                <w:rFonts w:ascii="HelveticaNeueLT Std" w:hAnsi="HelveticaNeueLT Std"/>
                <w:i/>
              </w:rPr>
            </w:pPr>
          </w:p>
          <w:p w:rsidR="006E7551" w:rsidRDefault="006E7551" w:rsidP="00B35603">
            <w:pPr>
              <w:spacing w:after="0" w:line="240" w:lineRule="auto"/>
              <w:rPr>
                <w:rFonts w:ascii="HelveticaNeueLT Std" w:eastAsia="Times New Roman" w:hAnsi="HelveticaNeueLT Std"/>
              </w:rPr>
            </w:pPr>
            <w:r w:rsidRPr="006E7551">
              <w:rPr>
                <w:rFonts w:ascii="HelveticaNeueLT Std" w:eastAsia="Times New Roman" w:hAnsi="HelveticaNeueLT Std"/>
                <w:b/>
              </w:rPr>
              <w:t>Subject:</w:t>
            </w:r>
            <w:r>
              <w:rPr>
                <w:rFonts w:ascii="HelveticaNeueLT Std" w:eastAsia="Times New Roman" w:hAnsi="HelveticaNeueLT Std"/>
              </w:rPr>
              <w:t xml:space="preserve"> Re: Policy KS3:Highgate Bowl</w:t>
            </w:r>
          </w:p>
          <w:p w:rsidR="006E7551" w:rsidRDefault="006E7551" w:rsidP="00B35603">
            <w:pPr>
              <w:spacing w:after="0" w:line="240" w:lineRule="auto"/>
              <w:rPr>
                <w:rFonts w:ascii="HelveticaNeueLT Std" w:eastAsia="Times New Roman" w:hAnsi="HelveticaNeueLT Std"/>
              </w:rPr>
            </w:pPr>
          </w:p>
          <w:p w:rsidR="003A74B2" w:rsidRDefault="003A74B2" w:rsidP="00B35603">
            <w:pPr>
              <w:spacing w:after="0" w:line="240" w:lineRule="auto"/>
              <w:rPr>
                <w:rFonts w:ascii="HelveticaNeueLT Std" w:eastAsia="Times New Roman" w:hAnsi="HelveticaNeueLT Std"/>
              </w:rPr>
            </w:pPr>
          </w:p>
          <w:p w:rsidR="003A74B2" w:rsidRDefault="003A74B2" w:rsidP="00B35603">
            <w:pPr>
              <w:spacing w:after="0" w:line="240" w:lineRule="auto"/>
              <w:rPr>
                <w:rFonts w:ascii="HelveticaNeueLT Std" w:eastAsia="Times New Roman" w:hAnsi="HelveticaNeueLT Std"/>
              </w:rPr>
            </w:pPr>
          </w:p>
          <w:p w:rsidR="00B35603" w:rsidRPr="00B35603" w:rsidRDefault="003A74B2" w:rsidP="00B35603">
            <w:pPr>
              <w:spacing w:after="0" w:line="240" w:lineRule="auto"/>
              <w:rPr>
                <w:rFonts w:ascii="HelveticaNeueLT Std" w:eastAsia="Times New Roman" w:hAnsi="HelveticaNeueLT Std"/>
              </w:rPr>
            </w:pPr>
            <w:r>
              <w:rPr>
                <w:rFonts w:ascii="HelveticaNeueLT Std" w:eastAsia="Times New Roman" w:hAnsi="HelveticaNeueLT Std"/>
              </w:rPr>
              <w:t xml:space="preserve">Hello again Steve. </w:t>
            </w:r>
            <w:r w:rsidR="00B35603" w:rsidRPr="00B35603">
              <w:rPr>
                <w:rFonts w:ascii="HelveticaNeueLT Std" w:eastAsia="Times New Roman" w:hAnsi="HelveticaNeueLT Std"/>
              </w:rPr>
              <w:t>Here are the amendments (in bold) to the new wording for Haringey’s SA 42 (and thus the NP’s KS3) submitted by the Highgate Bowl Action Group (which includes all the local voluntary associations, including the Forum):</w:t>
            </w:r>
          </w:p>
          <w:p w:rsidR="00B35603" w:rsidRPr="00B35603" w:rsidRDefault="00B35603" w:rsidP="00B35603">
            <w:pPr>
              <w:spacing w:after="0" w:line="240" w:lineRule="auto"/>
              <w:rPr>
                <w:rFonts w:ascii="HelveticaNeueLT Std" w:eastAsia="Times New Roman" w:hAnsi="HelveticaNeueLT Std"/>
              </w:rPr>
            </w:pPr>
          </w:p>
          <w:p w:rsidR="00B35603" w:rsidRPr="00B35603" w:rsidRDefault="00B35603" w:rsidP="00B35603">
            <w:pPr>
              <w:numPr>
                <w:ilvl w:val="0"/>
                <w:numId w:val="11"/>
              </w:numPr>
              <w:spacing w:before="100" w:beforeAutospacing="1" w:after="100" w:afterAutospacing="1" w:line="240" w:lineRule="auto"/>
              <w:rPr>
                <w:rFonts w:ascii="HelveticaNeueLT Std" w:eastAsia="Times New Roman" w:hAnsi="HelveticaNeueLT Std"/>
              </w:rPr>
            </w:pPr>
            <w:r w:rsidRPr="00B35603">
              <w:rPr>
                <w:rFonts w:ascii="HelveticaNeueLT Std" w:eastAsia="Times New Roman" w:hAnsi="HelveticaNeueLT Std"/>
              </w:rPr>
              <w:t xml:space="preserve">2.12- Proposed wording: </w:t>
            </w:r>
            <w:r w:rsidRPr="00B35603">
              <w:rPr>
                <w:rFonts w:ascii="HelveticaNeueLT Std" w:eastAsia="Times New Roman" w:hAnsi="HelveticaNeueLT Std"/>
                <w:b/>
                <w:bCs/>
              </w:rPr>
              <w:t>Protection of the Highgate Bowl as open space</w:t>
            </w:r>
            <w:r w:rsidRPr="00B35603">
              <w:rPr>
                <w:rFonts w:ascii="HelveticaNeueLT Std" w:eastAsia="Times New Roman" w:hAnsi="HelveticaNeueLT Std"/>
              </w:rPr>
              <w:t xml:space="preserve">, and improvement of public access through limited development of Townsend Yard, </w:t>
            </w:r>
            <w:r w:rsidRPr="00B35603">
              <w:rPr>
                <w:rFonts w:ascii="HelveticaNeueLT Std" w:eastAsia="Times New Roman" w:hAnsi="HelveticaNeueLT Std"/>
                <w:b/>
                <w:bCs/>
              </w:rPr>
              <w:t>Broadbent Close</w:t>
            </w:r>
            <w:r w:rsidRPr="00B35603">
              <w:rPr>
                <w:rFonts w:ascii="HelveticaNeueLT Std" w:eastAsia="Times New Roman" w:hAnsi="HelveticaNeueLT Std"/>
              </w:rPr>
              <w:t xml:space="preserve"> and Duke’s Head Yard (</w:t>
            </w:r>
            <w:r w:rsidRPr="00B35603">
              <w:rPr>
                <w:rFonts w:ascii="HelveticaNeueLT Std" w:eastAsia="Times New Roman" w:hAnsi="HelveticaNeueLT Std"/>
                <w:b/>
                <w:bCs/>
              </w:rPr>
              <w:t>referred to below as ‘the Yards’</w:t>
            </w:r>
            <w:r w:rsidRPr="00B35603">
              <w:rPr>
                <w:rFonts w:ascii="HelveticaNeueLT Std" w:eastAsia="Times New Roman" w:hAnsi="HelveticaNeueLT Std"/>
              </w:rPr>
              <w:t>)</w:t>
            </w:r>
          </w:p>
          <w:p w:rsidR="00B35603" w:rsidRPr="00B35603" w:rsidRDefault="00B35603" w:rsidP="00B35603">
            <w:pPr>
              <w:numPr>
                <w:ilvl w:val="0"/>
                <w:numId w:val="11"/>
              </w:numPr>
              <w:spacing w:before="100" w:beforeAutospacing="1" w:after="100" w:afterAutospacing="1" w:line="240" w:lineRule="auto"/>
              <w:rPr>
                <w:rFonts w:ascii="HelveticaNeueLT Std" w:eastAsia="Times New Roman" w:hAnsi="HelveticaNeueLT Std"/>
              </w:rPr>
            </w:pPr>
            <w:r w:rsidRPr="00B35603">
              <w:rPr>
                <w:rFonts w:ascii="HelveticaNeueLT Std" w:eastAsia="Times New Roman" w:hAnsi="HelveticaNeueLT Std"/>
              </w:rPr>
              <w:t xml:space="preserve">2.122 Proposed wording: This policy will establish the Highgate Bowl as a </w:t>
            </w:r>
            <w:r w:rsidRPr="00B35603">
              <w:rPr>
                <w:rFonts w:ascii="HelveticaNeueLT Std" w:eastAsia="Times New Roman" w:hAnsi="HelveticaNeueLT Std"/>
                <w:b/>
                <w:bCs/>
              </w:rPr>
              <w:t xml:space="preserve">designated </w:t>
            </w:r>
            <w:r w:rsidRPr="00B35603">
              <w:rPr>
                <w:rFonts w:ascii="HelveticaNeueLT Std" w:eastAsia="Times New Roman" w:hAnsi="HelveticaNeueLT Std"/>
              </w:rPr>
              <w:t xml:space="preserve">open space, and the heart of the Highgate Bowl section of the Highgate Conservation Area. Limited redevelopment within </w:t>
            </w:r>
            <w:r w:rsidRPr="00B35603">
              <w:rPr>
                <w:rFonts w:ascii="HelveticaNeueLT Std" w:eastAsia="Times New Roman" w:hAnsi="HelveticaNeueLT Std"/>
                <w:b/>
                <w:bCs/>
              </w:rPr>
              <w:t xml:space="preserve">the </w:t>
            </w:r>
            <w:proofErr w:type="gramStart"/>
            <w:r w:rsidRPr="00B35603">
              <w:rPr>
                <w:rFonts w:ascii="HelveticaNeueLT Std" w:eastAsia="Times New Roman" w:hAnsi="HelveticaNeueLT Std"/>
                <w:b/>
                <w:bCs/>
              </w:rPr>
              <w:t>Yards</w:t>
            </w:r>
            <w:r w:rsidRPr="00B35603">
              <w:rPr>
                <w:rFonts w:ascii="HelveticaNeueLT Std" w:eastAsia="Times New Roman" w:hAnsi="HelveticaNeueLT Std"/>
              </w:rPr>
              <w:t>,….</w:t>
            </w:r>
            <w:proofErr w:type="gramEnd"/>
          </w:p>
          <w:p w:rsidR="00B35603" w:rsidRPr="00B35603" w:rsidRDefault="00B35603" w:rsidP="00B35603">
            <w:pPr>
              <w:numPr>
                <w:ilvl w:val="0"/>
                <w:numId w:val="11"/>
              </w:numPr>
              <w:spacing w:before="100" w:beforeAutospacing="1" w:after="100" w:afterAutospacing="1" w:line="240" w:lineRule="auto"/>
              <w:rPr>
                <w:rFonts w:ascii="HelveticaNeueLT Std" w:eastAsia="Times New Roman" w:hAnsi="HelveticaNeueLT Std"/>
              </w:rPr>
            </w:pPr>
            <w:r w:rsidRPr="00B35603">
              <w:rPr>
                <w:rFonts w:ascii="HelveticaNeueLT Std" w:eastAsia="Times New Roman" w:hAnsi="HelveticaNeueLT Std"/>
              </w:rPr>
              <w:t xml:space="preserve">Third site requirement: change opening sentence to: </w:t>
            </w:r>
            <w:r w:rsidRPr="00B35603">
              <w:rPr>
                <w:rFonts w:ascii="HelveticaNeueLT Std" w:eastAsia="Times New Roman" w:hAnsi="HelveticaNeueLT Std"/>
                <w:b/>
                <w:bCs/>
              </w:rPr>
              <w:t xml:space="preserve">Limited and sensitive </w:t>
            </w:r>
            <w:r w:rsidRPr="00B35603">
              <w:rPr>
                <w:rFonts w:ascii="HelveticaNeueLT Std" w:eastAsia="Times New Roman" w:hAnsi="HelveticaNeueLT Std"/>
              </w:rPr>
              <w:t xml:space="preserve">development </w:t>
            </w:r>
            <w:r w:rsidRPr="00B35603">
              <w:rPr>
                <w:rFonts w:ascii="HelveticaNeueLT Std" w:eastAsia="Times New Roman" w:hAnsi="HelveticaNeueLT Std"/>
                <w:b/>
                <w:bCs/>
              </w:rPr>
              <w:t xml:space="preserve">within the Yards </w:t>
            </w:r>
            <w:r w:rsidRPr="00B35603">
              <w:rPr>
                <w:rFonts w:ascii="HelveticaNeueLT Std" w:eastAsia="Times New Roman" w:hAnsi="HelveticaNeueLT Std"/>
              </w:rPr>
              <w:t xml:space="preserve">offers the opportunity to secure the area identified by and </w:t>
            </w:r>
            <w:r w:rsidRPr="00B35603">
              <w:rPr>
                <w:rFonts w:ascii="HelveticaNeueLT Std" w:eastAsia="Times New Roman" w:hAnsi="HelveticaNeueLT Std"/>
                <w:b/>
                <w:bCs/>
              </w:rPr>
              <w:t xml:space="preserve">lying within </w:t>
            </w:r>
            <w:r w:rsidRPr="00B35603">
              <w:rPr>
                <w:rFonts w:ascii="HelveticaNeueLT Std" w:eastAsia="Times New Roman" w:hAnsi="HelveticaNeueLT Std"/>
              </w:rPr>
              <w:t xml:space="preserve">the green line on the site allocation and Policies Map as </w:t>
            </w:r>
            <w:r w:rsidRPr="00B35603">
              <w:rPr>
                <w:rFonts w:ascii="HelveticaNeueLT Std" w:eastAsia="Times New Roman" w:hAnsi="HelveticaNeueLT Std"/>
                <w:b/>
                <w:bCs/>
              </w:rPr>
              <w:t xml:space="preserve">designated </w:t>
            </w:r>
            <w:r w:rsidRPr="00B35603">
              <w:rPr>
                <w:rFonts w:ascii="HelveticaNeueLT Std" w:eastAsia="Times New Roman" w:hAnsi="HelveticaNeueLT Std"/>
              </w:rPr>
              <w:t>open space. </w:t>
            </w:r>
          </w:p>
          <w:p w:rsidR="00B35603" w:rsidRPr="00B35603" w:rsidRDefault="00B35603" w:rsidP="00B35603">
            <w:pPr>
              <w:numPr>
                <w:ilvl w:val="0"/>
                <w:numId w:val="11"/>
              </w:numPr>
              <w:spacing w:before="100" w:beforeAutospacing="1" w:after="100" w:afterAutospacing="1" w:line="240" w:lineRule="auto"/>
              <w:rPr>
                <w:rFonts w:ascii="HelveticaNeueLT Std" w:eastAsia="Times New Roman" w:hAnsi="HelveticaNeueLT Std"/>
              </w:rPr>
            </w:pPr>
            <w:r w:rsidRPr="00B35603">
              <w:rPr>
                <w:rFonts w:ascii="HelveticaNeueLT Std" w:eastAsia="Times New Roman" w:hAnsi="HelveticaNeueLT Std"/>
              </w:rPr>
              <w:lastRenderedPageBreak/>
              <w:t xml:space="preserve">Fourth site requirement to be reworded as: Limited redevelopment of the garages and workshops </w:t>
            </w:r>
            <w:r w:rsidRPr="00B35603">
              <w:rPr>
                <w:rFonts w:ascii="HelveticaNeueLT Std" w:eastAsia="Times New Roman" w:hAnsi="HelveticaNeueLT Std"/>
                <w:b/>
                <w:bCs/>
              </w:rPr>
              <w:t xml:space="preserve">in the Yards </w:t>
            </w:r>
            <w:r w:rsidRPr="00B35603">
              <w:rPr>
                <w:rFonts w:ascii="HelveticaNeueLT Std" w:eastAsia="Times New Roman" w:hAnsi="HelveticaNeueLT Std"/>
              </w:rPr>
              <w:t xml:space="preserve">will be allowed, </w:t>
            </w:r>
            <w:proofErr w:type="spellStart"/>
            <w:r w:rsidRPr="00B35603">
              <w:rPr>
                <w:rFonts w:ascii="HelveticaNeueLT Std" w:eastAsia="Times New Roman" w:hAnsi="HelveticaNeueLT Std"/>
              </w:rPr>
              <w:t>etc</w:t>
            </w:r>
            <w:proofErr w:type="spellEnd"/>
            <w:r w:rsidRPr="00B35603">
              <w:rPr>
                <w:rFonts w:ascii="HelveticaNeueLT Std" w:eastAsia="Times New Roman" w:hAnsi="HelveticaNeueLT Std"/>
              </w:rPr>
              <w:t xml:space="preserve"> </w:t>
            </w:r>
            <w:proofErr w:type="spellStart"/>
            <w:r w:rsidRPr="00B35603">
              <w:rPr>
                <w:rFonts w:ascii="HelveticaNeueLT Std" w:eastAsia="Times New Roman" w:hAnsi="HelveticaNeueLT Std"/>
              </w:rPr>
              <w:t>etc</w:t>
            </w:r>
            <w:proofErr w:type="spellEnd"/>
          </w:p>
          <w:p w:rsidR="00B35603" w:rsidRDefault="00B35603" w:rsidP="00B35603">
            <w:pPr>
              <w:numPr>
                <w:ilvl w:val="0"/>
                <w:numId w:val="11"/>
              </w:numPr>
              <w:spacing w:before="100" w:beforeAutospacing="1" w:after="100" w:afterAutospacing="1" w:line="240" w:lineRule="auto"/>
              <w:rPr>
                <w:rFonts w:ascii="HelveticaNeueLT Std" w:eastAsia="Times New Roman" w:hAnsi="HelveticaNeueLT Std"/>
              </w:rPr>
            </w:pPr>
            <w:r w:rsidRPr="00B35603">
              <w:rPr>
                <w:rFonts w:ascii="HelveticaNeueLT Std" w:eastAsia="Times New Roman" w:hAnsi="HelveticaNeueLT Std"/>
              </w:rPr>
              <w:t xml:space="preserve">Fifth site requirement to be changed as follows: Enhanced access to the Bowl will be supported through </w:t>
            </w:r>
            <w:r w:rsidRPr="00B35603">
              <w:rPr>
                <w:rFonts w:ascii="HelveticaNeueLT Std" w:eastAsia="Times New Roman" w:hAnsi="HelveticaNeueLT Std"/>
                <w:b/>
                <w:bCs/>
              </w:rPr>
              <w:t xml:space="preserve">the Yards </w:t>
            </w:r>
            <w:proofErr w:type="spellStart"/>
            <w:r w:rsidRPr="00B35603">
              <w:rPr>
                <w:rFonts w:ascii="HelveticaNeueLT Std" w:eastAsia="Times New Roman" w:hAnsi="HelveticaNeueLT Std"/>
              </w:rPr>
              <w:t>etc</w:t>
            </w:r>
            <w:proofErr w:type="spellEnd"/>
            <w:r w:rsidRPr="00B35603">
              <w:rPr>
                <w:rFonts w:ascii="HelveticaNeueLT Std" w:eastAsia="Times New Roman" w:hAnsi="HelveticaNeueLT Std"/>
              </w:rPr>
              <w:t xml:space="preserve"> </w:t>
            </w:r>
            <w:proofErr w:type="spellStart"/>
            <w:r w:rsidRPr="00B35603">
              <w:rPr>
                <w:rFonts w:ascii="HelveticaNeueLT Std" w:eastAsia="Times New Roman" w:hAnsi="HelveticaNeueLT Std"/>
              </w:rPr>
              <w:t>etc</w:t>
            </w:r>
            <w:proofErr w:type="spellEnd"/>
          </w:p>
          <w:p w:rsidR="001561A4" w:rsidRPr="001561A4" w:rsidRDefault="001561A4" w:rsidP="001561A4">
            <w:pPr>
              <w:spacing w:before="100" w:beforeAutospacing="1" w:after="100" w:afterAutospacing="1" w:line="240" w:lineRule="auto"/>
              <w:rPr>
                <w:rFonts w:ascii="HelveticaNeueLT Std" w:eastAsia="Times New Roman" w:hAnsi="HelveticaNeueLT Std"/>
              </w:rPr>
            </w:pPr>
            <w:r w:rsidRPr="001561A4">
              <w:rPr>
                <w:rFonts w:ascii="HelveticaNeueLT Std" w:eastAsia="Times New Roman" w:hAnsi="HelveticaNeueLT Std"/>
              </w:rPr>
              <w:t>Hope this answers the Examiner’s query but I can send a fuller explanation of the changes, if required.</w:t>
            </w:r>
            <w:r>
              <w:rPr>
                <w:rFonts w:ascii="HelveticaNeueLT Std" w:eastAsia="Times New Roman" w:hAnsi="HelveticaNeueLT Std"/>
              </w:rPr>
              <w:br/>
            </w:r>
            <w:r w:rsidRPr="001561A4">
              <w:rPr>
                <w:rFonts w:ascii="HelveticaNeueLT Std" w:eastAsia="Times New Roman" w:hAnsi="HelveticaNeueLT Std"/>
              </w:rPr>
              <w:t>best</w:t>
            </w:r>
          </w:p>
          <w:p w:rsidR="001561A4" w:rsidRPr="00B35603" w:rsidRDefault="001561A4" w:rsidP="001561A4">
            <w:pPr>
              <w:spacing w:before="100" w:beforeAutospacing="1" w:after="100" w:afterAutospacing="1" w:line="240" w:lineRule="auto"/>
              <w:rPr>
                <w:rFonts w:ascii="HelveticaNeueLT Std" w:eastAsia="Times New Roman" w:hAnsi="HelveticaNeueLT Std"/>
              </w:rPr>
            </w:pPr>
          </w:p>
        </w:tc>
      </w:tr>
    </w:tbl>
    <w:p w:rsidR="00B35603" w:rsidRDefault="00B35603"/>
    <w:sectPr w:rsidR="00B35603" w:rsidSect="00B35603">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HelveticaNeueLT Std">
    <w:panose1 w:val="00000000000000000000"/>
    <w:charset w:val="00"/>
    <w:family w:val="swiss"/>
    <w:notTrueType/>
    <w:pitch w:val="variable"/>
    <w:sig w:usb0="800000AF" w:usb1="4000204A" w:usb2="00000000" w:usb3="00000000" w:csb0="0000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A6321"/>
    <w:multiLevelType w:val="hybridMultilevel"/>
    <w:tmpl w:val="5BE87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F46D0B"/>
    <w:multiLevelType w:val="hybridMultilevel"/>
    <w:tmpl w:val="3C785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5C42931"/>
    <w:multiLevelType w:val="hybridMultilevel"/>
    <w:tmpl w:val="A86606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26221A8B"/>
    <w:multiLevelType w:val="hybridMultilevel"/>
    <w:tmpl w:val="5D70E41E"/>
    <w:lvl w:ilvl="0" w:tplc="3308109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46C1201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4D452864"/>
    <w:multiLevelType w:val="hybridMultilevel"/>
    <w:tmpl w:val="6EE49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90A2EC4"/>
    <w:multiLevelType w:val="hybridMultilevel"/>
    <w:tmpl w:val="B498A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05F76D5"/>
    <w:multiLevelType w:val="hybridMultilevel"/>
    <w:tmpl w:val="37E01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6017F2E"/>
    <w:multiLevelType w:val="hybridMultilevel"/>
    <w:tmpl w:val="00785D6E"/>
    <w:lvl w:ilvl="0" w:tplc="FEC2F07A">
      <w:start w:val="1"/>
      <w:numFmt w:val="upperRoman"/>
      <w:lvlText w:val="%1."/>
      <w:lvlJc w:val="left"/>
      <w:pPr>
        <w:ind w:left="765" w:hanging="72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9">
    <w:nsid w:val="6B2E21FE"/>
    <w:multiLevelType w:val="multilevel"/>
    <w:tmpl w:val="6D24804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0">
    <w:nsid w:val="77D27659"/>
    <w:multiLevelType w:val="hybridMultilevel"/>
    <w:tmpl w:val="4BBA9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5"/>
  </w:num>
  <w:num w:numId="4">
    <w:abstractNumId w:val="1"/>
  </w:num>
  <w:num w:numId="5">
    <w:abstractNumId w:val="10"/>
  </w:num>
  <w:num w:numId="6">
    <w:abstractNumId w:val="7"/>
  </w:num>
  <w:num w:numId="7">
    <w:abstractNumId w:val="3"/>
  </w:num>
  <w:num w:numId="8">
    <w:abstractNumId w:val="8"/>
  </w:num>
  <w:num w:numId="9">
    <w:abstractNumId w:val="2"/>
  </w:num>
  <w:num w:numId="10">
    <w:abstractNumId w:val="0"/>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2"/>
  </w:compat>
  <w:rsids>
    <w:rsidRoot w:val="00B35603"/>
    <w:rsid w:val="00074E77"/>
    <w:rsid w:val="001561A4"/>
    <w:rsid w:val="001A6EFC"/>
    <w:rsid w:val="00272319"/>
    <w:rsid w:val="003A74B2"/>
    <w:rsid w:val="006E7551"/>
    <w:rsid w:val="008030B8"/>
    <w:rsid w:val="008E2D51"/>
    <w:rsid w:val="009037FB"/>
    <w:rsid w:val="009077E1"/>
    <w:rsid w:val="00B35603"/>
    <w:rsid w:val="00B35844"/>
    <w:rsid w:val="00D01FA6"/>
    <w:rsid w:val="00D476E2"/>
    <w:rsid w:val="00DA21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603"/>
    <w:rPr>
      <w:rFonts w:ascii="Calibri" w:eastAsia="MS Mincho"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35603"/>
    <w:pPr>
      <w:spacing w:after="0" w:line="240" w:lineRule="auto"/>
    </w:pPr>
    <w:rPr>
      <w:rFonts w:ascii="Calibri" w:eastAsia="MS Mincho"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34"/>
    <w:qFormat/>
    <w:rsid w:val="00B35603"/>
    <w:pPr>
      <w:ind w:left="720"/>
      <w:contextualSpacing/>
    </w:pPr>
  </w:style>
  <w:style w:type="character" w:styleId="CommentReference">
    <w:name w:val="annotation reference"/>
    <w:uiPriority w:val="99"/>
    <w:semiHidden/>
    <w:unhideWhenUsed/>
    <w:rsid w:val="00B35603"/>
    <w:rPr>
      <w:sz w:val="16"/>
      <w:szCs w:val="16"/>
    </w:rPr>
  </w:style>
  <w:style w:type="paragraph" w:styleId="CommentText">
    <w:name w:val="annotation text"/>
    <w:basedOn w:val="Normal"/>
    <w:link w:val="CommentTextChar"/>
    <w:uiPriority w:val="99"/>
    <w:semiHidden/>
    <w:unhideWhenUsed/>
    <w:rsid w:val="00B35603"/>
    <w:pPr>
      <w:spacing w:line="240" w:lineRule="auto"/>
    </w:pPr>
    <w:rPr>
      <w:sz w:val="20"/>
      <w:szCs w:val="20"/>
    </w:rPr>
  </w:style>
  <w:style w:type="character" w:customStyle="1" w:styleId="CommentTextChar">
    <w:name w:val="Comment Text Char"/>
    <w:basedOn w:val="DefaultParagraphFont"/>
    <w:link w:val="CommentText"/>
    <w:uiPriority w:val="99"/>
    <w:semiHidden/>
    <w:rsid w:val="00B35603"/>
    <w:rPr>
      <w:rFonts w:ascii="Calibri" w:eastAsia="MS Mincho"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35603"/>
    <w:rPr>
      <w:b/>
      <w:bCs/>
    </w:rPr>
  </w:style>
  <w:style w:type="character" w:customStyle="1" w:styleId="CommentSubjectChar">
    <w:name w:val="Comment Subject Char"/>
    <w:basedOn w:val="CommentTextChar"/>
    <w:link w:val="CommentSubject"/>
    <w:uiPriority w:val="99"/>
    <w:semiHidden/>
    <w:rsid w:val="00B35603"/>
    <w:rPr>
      <w:rFonts w:ascii="Calibri" w:eastAsia="MS Mincho" w:hAnsi="Calibri" w:cs="Times New Roman"/>
      <w:b/>
      <w:bCs/>
      <w:sz w:val="20"/>
      <w:szCs w:val="20"/>
    </w:rPr>
  </w:style>
  <w:style w:type="paragraph" w:styleId="BalloonText">
    <w:name w:val="Balloon Text"/>
    <w:basedOn w:val="Normal"/>
    <w:link w:val="BalloonTextChar"/>
    <w:uiPriority w:val="99"/>
    <w:semiHidden/>
    <w:unhideWhenUsed/>
    <w:rsid w:val="00B356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5603"/>
    <w:rPr>
      <w:rFonts w:ascii="Tahoma" w:eastAsia="MS Mincho" w:hAnsi="Tahoma" w:cs="Tahoma"/>
      <w:sz w:val="16"/>
      <w:szCs w:val="16"/>
    </w:rPr>
  </w:style>
  <w:style w:type="character" w:styleId="Hyperlink">
    <w:name w:val="Hyperlink"/>
    <w:uiPriority w:val="99"/>
    <w:unhideWhenUsed/>
    <w:rsid w:val="00B35603"/>
    <w:rPr>
      <w:color w:val="0000FF"/>
      <w:u w:val="single"/>
    </w:rPr>
  </w:style>
  <w:style w:type="character" w:styleId="FollowedHyperlink">
    <w:name w:val="FollowedHyperlink"/>
    <w:uiPriority w:val="99"/>
    <w:semiHidden/>
    <w:unhideWhenUsed/>
    <w:rsid w:val="00B35603"/>
    <w:rPr>
      <w:color w:val="800080"/>
      <w:u w:val="single"/>
    </w:rPr>
  </w:style>
  <w:style w:type="paragraph" w:customStyle="1" w:styleId="ColorfulList-Accent12">
    <w:name w:val="Colorful List - Accent 12"/>
    <w:basedOn w:val="Normal"/>
    <w:uiPriority w:val="34"/>
    <w:qFormat/>
    <w:rsid w:val="00B35603"/>
    <w:pPr>
      <w:spacing w:after="0" w:line="240" w:lineRule="auto"/>
      <w:ind w:left="720"/>
      <w:contextualSpacing/>
    </w:pPr>
    <w:rPr>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aringey.gov.uk/planning-and-building-control/planning/planning-policy/neighbourhood-planning/highgate-neighbourhood-forum-and-are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713</Words>
  <Characters>4065</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Haringey Council</Company>
  <LinksUpToDate>false</LinksUpToDate>
  <CharactersWithSpaces>4769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enpeeen</dc:creator>
  <cp:lastModifiedBy>Triggs, Andrew</cp:lastModifiedBy>
  <cp:revision>2</cp:revision>
  <dcterms:created xsi:type="dcterms:W3CDTF">2017-01-31T14:38:00Z</dcterms:created>
  <dcterms:modified xsi:type="dcterms:W3CDTF">2017-01-31T14:38:00Z</dcterms:modified>
</cp:coreProperties>
</file>