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91" w:rsidRDefault="00C82991" w:rsidP="00C82991">
      <w:pPr>
        <w:jc w:val="both"/>
        <w:rPr>
          <w:b/>
          <w:color w:val="008080"/>
          <w:sz w:val="40"/>
        </w:rPr>
      </w:pPr>
      <w:r>
        <w:rPr>
          <w:b/>
          <w:color w:val="008080"/>
          <w:sz w:val="40"/>
        </w:rPr>
        <w:t>Secondary glazing</w:t>
      </w:r>
    </w:p>
    <w:p w:rsidR="00C82991" w:rsidRDefault="00C82991" w:rsidP="00C82991">
      <w:pPr>
        <w:spacing w:after="0" w:line="240" w:lineRule="auto"/>
        <w:jc w:val="both"/>
        <w:rPr>
          <w:color w:val="3B3838" w:themeColor="background2" w:themeShade="40"/>
          <w:sz w:val="24"/>
        </w:rPr>
      </w:pPr>
      <w:r w:rsidRPr="005C6B3C">
        <w:rPr>
          <w:b/>
          <w:color w:val="3B3838" w:themeColor="background2" w:themeShade="40"/>
          <w:sz w:val="28"/>
        </w:rPr>
        <w:t>What is it?</w:t>
      </w:r>
      <w:r w:rsidRPr="005C6B3C">
        <w:rPr>
          <w:color w:val="3B3838" w:themeColor="background2" w:themeShade="40"/>
          <w:sz w:val="28"/>
        </w:rPr>
        <w:t xml:space="preserve"> </w:t>
      </w:r>
      <w:r w:rsidRPr="00582DAD">
        <w:rPr>
          <w:color w:val="3B3838" w:themeColor="background2" w:themeShade="40"/>
          <w:sz w:val="24"/>
        </w:rPr>
        <w:t>Windows let light and heat into a building, but they can also let a lot of heat out when</w:t>
      </w:r>
      <w:r>
        <w:rPr>
          <w:color w:val="3B3838" w:themeColor="background2" w:themeShade="40"/>
          <w:sz w:val="24"/>
        </w:rPr>
        <w:t xml:space="preserve"> </w:t>
      </w:r>
      <w:r w:rsidRPr="00582DAD">
        <w:rPr>
          <w:color w:val="3B3838" w:themeColor="background2" w:themeShade="40"/>
          <w:sz w:val="24"/>
        </w:rPr>
        <w:t>temperatures are colder outside than inside.</w:t>
      </w:r>
      <w:r>
        <w:rPr>
          <w:color w:val="3B3838" w:themeColor="background2" w:themeShade="40"/>
          <w:sz w:val="24"/>
        </w:rPr>
        <w:t xml:space="preserve"> You can improve the energy efficiency of your home by installing secondary glazing.</w:t>
      </w:r>
    </w:p>
    <w:p w:rsidR="00C82991" w:rsidRDefault="00C82991" w:rsidP="00C82991">
      <w:pPr>
        <w:spacing w:after="0" w:line="240" w:lineRule="auto"/>
        <w:jc w:val="both"/>
        <w:rPr>
          <w:color w:val="3B3838" w:themeColor="background2" w:themeShade="40"/>
          <w:sz w:val="24"/>
        </w:rPr>
      </w:pPr>
    </w:p>
    <w:p w:rsidR="00C82991" w:rsidRPr="00537910" w:rsidRDefault="00C82991" w:rsidP="00C82991">
      <w:pPr>
        <w:spacing w:after="0" w:line="240" w:lineRule="auto"/>
        <w:jc w:val="both"/>
        <w:rPr>
          <w:color w:val="3B3838" w:themeColor="background2" w:themeShade="40"/>
          <w:sz w:val="24"/>
        </w:rPr>
      </w:pPr>
      <w:r>
        <w:rPr>
          <w:color w:val="3B3838" w:themeColor="background2" w:themeShade="40"/>
          <w:sz w:val="24"/>
        </w:rPr>
        <w:t xml:space="preserve">Secondary glazing </w:t>
      </w:r>
      <w:r w:rsidRPr="001D341E">
        <w:rPr>
          <w:color w:val="3B3838" w:themeColor="background2" w:themeShade="40"/>
          <w:sz w:val="24"/>
        </w:rPr>
        <w:t>is a</w:t>
      </w:r>
      <w:r>
        <w:rPr>
          <w:color w:val="3B3838" w:themeColor="background2" w:themeShade="40"/>
          <w:sz w:val="24"/>
        </w:rPr>
        <w:t>n</w:t>
      </w:r>
      <w:r w:rsidRPr="001D341E">
        <w:rPr>
          <w:color w:val="3B3838" w:themeColor="background2" w:themeShade="40"/>
          <w:sz w:val="24"/>
        </w:rPr>
        <w:t xml:space="preserve"> independent window system installed to</w:t>
      </w:r>
      <w:r>
        <w:rPr>
          <w:color w:val="3B3838" w:themeColor="background2" w:themeShade="40"/>
          <w:sz w:val="24"/>
        </w:rPr>
        <w:t xml:space="preserve"> the</w:t>
      </w:r>
      <w:r w:rsidRPr="001D341E">
        <w:rPr>
          <w:color w:val="3B3838" w:themeColor="background2" w:themeShade="40"/>
          <w:sz w:val="24"/>
        </w:rPr>
        <w:t xml:space="preserve"> </w:t>
      </w:r>
      <w:r>
        <w:rPr>
          <w:color w:val="3B3838" w:themeColor="background2" w:themeShade="40"/>
          <w:sz w:val="24"/>
        </w:rPr>
        <w:t>in</w:t>
      </w:r>
      <w:r w:rsidRPr="001D341E">
        <w:rPr>
          <w:color w:val="3B3838" w:themeColor="background2" w:themeShade="40"/>
          <w:sz w:val="24"/>
        </w:rPr>
        <w:t>side of existing windows. The original windows remain in position in their original unaltered fo</w:t>
      </w:r>
      <w:r>
        <w:rPr>
          <w:color w:val="3B3838" w:themeColor="background2" w:themeShade="40"/>
          <w:sz w:val="24"/>
        </w:rPr>
        <w:t xml:space="preserve">rm and can be </w:t>
      </w:r>
      <w:r w:rsidRPr="001D341E">
        <w:rPr>
          <w:color w:val="3B3838" w:themeColor="background2" w:themeShade="40"/>
          <w:sz w:val="24"/>
        </w:rPr>
        <w:t xml:space="preserve">openable, removable or </w:t>
      </w:r>
      <w:r>
        <w:rPr>
          <w:color w:val="3B3838" w:themeColor="background2" w:themeShade="40"/>
          <w:sz w:val="24"/>
        </w:rPr>
        <w:t xml:space="preserve">a </w:t>
      </w:r>
      <w:r w:rsidRPr="001D341E">
        <w:rPr>
          <w:color w:val="3B3838" w:themeColor="background2" w:themeShade="40"/>
          <w:sz w:val="24"/>
        </w:rPr>
        <w:t>fixed unit.</w:t>
      </w:r>
      <w:r>
        <w:rPr>
          <w:color w:val="3B3838" w:themeColor="background2" w:themeShade="40"/>
          <w:sz w:val="24"/>
        </w:rPr>
        <w:t xml:space="preserve"> Planning permission is not required for secondary glazing – however if your property is a listed building, Listed Building Consent will be required.</w:t>
      </w:r>
    </w:p>
    <w:p w:rsidR="00C82991" w:rsidRDefault="00C82991" w:rsidP="00C82991">
      <w:pPr>
        <w:spacing w:after="0" w:line="240" w:lineRule="auto"/>
        <w:jc w:val="both"/>
        <w:rPr>
          <w:color w:val="3B3838" w:themeColor="background2" w:themeShade="40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977"/>
      </w:tblGrid>
      <w:tr w:rsidR="00C82991" w:rsidTr="009346EE">
        <w:tc>
          <w:tcPr>
            <w:tcW w:w="2977" w:type="dxa"/>
            <w:shd w:val="clear" w:color="auto" w:fill="E2EFD9" w:themeFill="accent6" w:themeFillTint="33"/>
          </w:tcPr>
          <w:p w:rsidR="00C82991" w:rsidRPr="000C47D1" w:rsidRDefault="00C82991" w:rsidP="009346EE">
            <w:pPr>
              <w:jc w:val="both"/>
              <w:rPr>
                <w:color w:val="3B3838" w:themeColor="background2" w:themeShade="40"/>
                <w:sz w:val="28"/>
              </w:rPr>
            </w:pPr>
            <w:r w:rsidRPr="000C47D1">
              <w:rPr>
                <w:b/>
                <w:color w:val="3B3838" w:themeColor="background2" w:themeShade="40"/>
                <w:sz w:val="28"/>
              </w:rPr>
              <w:t>Cost</w:t>
            </w:r>
            <w:r w:rsidRPr="000C47D1">
              <w:rPr>
                <w:color w:val="3B3838" w:themeColor="background2" w:themeShade="40"/>
                <w:sz w:val="28"/>
              </w:rPr>
              <w:t xml:space="preserve"> ££</w:t>
            </w:r>
          </w:p>
        </w:tc>
      </w:tr>
      <w:tr w:rsidR="00C82991" w:rsidTr="009346EE">
        <w:tc>
          <w:tcPr>
            <w:tcW w:w="2977" w:type="dxa"/>
            <w:shd w:val="clear" w:color="auto" w:fill="E2EFD9" w:themeFill="accent6" w:themeFillTint="33"/>
          </w:tcPr>
          <w:p w:rsidR="00C82991" w:rsidRPr="000C47D1" w:rsidRDefault="00C82991" w:rsidP="009346EE">
            <w:pPr>
              <w:jc w:val="both"/>
              <w:rPr>
                <w:color w:val="3B3838" w:themeColor="background2" w:themeShade="40"/>
                <w:sz w:val="28"/>
              </w:rPr>
            </w:pPr>
            <w:r w:rsidRPr="000C47D1">
              <w:rPr>
                <w:b/>
                <w:color w:val="3B3838" w:themeColor="background2" w:themeShade="40"/>
                <w:sz w:val="28"/>
              </w:rPr>
              <w:t>Improvement</w:t>
            </w:r>
            <w:r w:rsidRPr="000C47D1">
              <w:rPr>
                <w:color w:val="3B3838" w:themeColor="background2" w:themeShade="40"/>
                <w:sz w:val="28"/>
              </w:rPr>
              <w:t xml:space="preserve"> ↗↗</w:t>
            </w:r>
          </w:p>
        </w:tc>
      </w:tr>
      <w:tr w:rsidR="00C82991" w:rsidTr="009346EE">
        <w:tc>
          <w:tcPr>
            <w:tcW w:w="2977" w:type="dxa"/>
            <w:shd w:val="clear" w:color="auto" w:fill="E2EFD9" w:themeFill="accent6" w:themeFillTint="33"/>
          </w:tcPr>
          <w:p w:rsidR="00C82991" w:rsidRPr="000C47D1" w:rsidRDefault="00C82991" w:rsidP="009346EE">
            <w:pPr>
              <w:jc w:val="both"/>
              <w:rPr>
                <w:color w:val="3B3838" w:themeColor="background2" w:themeShade="40"/>
                <w:sz w:val="28"/>
              </w:rPr>
            </w:pPr>
            <w:proofErr w:type="gramStart"/>
            <w:r w:rsidRPr="000C47D1">
              <w:rPr>
                <w:b/>
                <w:color w:val="3B3838" w:themeColor="background2" w:themeShade="40"/>
                <w:sz w:val="28"/>
              </w:rPr>
              <w:t>Disruption</w:t>
            </w:r>
            <w:r w:rsidRPr="000C47D1">
              <w:rPr>
                <w:color w:val="3B3838" w:themeColor="background2" w:themeShade="40"/>
                <w:sz w:val="28"/>
              </w:rPr>
              <w:t xml:space="preserve"> !!</w:t>
            </w:r>
            <w:proofErr w:type="gramEnd"/>
          </w:p>
        </w:tc>
      </w:tr>
    </w:tbl>
    <w:p w:rsidR="00C82991" w:rsidRDefault="00C82991" w:rsidP="00C82991">
      <w:pPr>
        <w:spacing w:after="0" w:line="240" w:lineRule="auto"/>
        <w:jc w:val="both"/>
        <w:rPr>
          <w:b/>
          <w:color w:val="3B3838" w:themeColor="background2" w:themeShade="40"/>
          <w:sz w:val="28"/>
        </w:rPr>
      </w:pPr>
    </w:p>
    <w:p w:rsidR="00C82991" w:rsidRDefault="00C82991" w:rsidP="00C82991">
      <w:pPr>
        <w:spacing w:after="0" w:line="240" w:lineRule="auto"/>
        <w:jc w:val="both"/>
        <w:rPr>
          <w:color w:val="3B3838" w:themeColor="background2" w:themeShade="40"/>
          <w:sz w:val="28"/>
        </w:rPr>
      </w:pPr>
      <w:r w:rsidRPr="00903B1F">
        <w:rPr>
          <w:b/>
          <w:color w:val="3B3838" w:themeColor="background2" w:themeShade="40"/>
          <w:sz w:val="28"/>
        </w:rPr>
        <w:t>Property designations?</w:t>
      </w:r>
      <w:r>
        <w:rPr>
          <w:color w:val="3B3838" w:themeColor="background2" w:themeShade="40"/>
          <w:sz w:val="28"/>
        </w:rPr>
        <w:t xml:space="preserve"> </w:t>
      </w:r>
      <w:r w:rsidRPr="00537910">
        <w:rPr>
          <w:color w:val="3B3838" w:themeColor="background2" w:themeShade="40"/>
          <w:sz w:val="24"/>
          <w:szCs w:val="24"/>
        </w:rPr>
        <w:t>Is your home in a Conservation Area</w:t>
      </w:r>
      <w:r>
        <w:rPr>
          <w:color w:val="3B3838" w:themeColor="background2" w:themeShade="40"/>
          <w:sz w:val="24"/>
          <w:szCs w:val="24"/>
        </w:rPr>
        <w:t>?</w:t>
      </w:r>
      <w:r w:rsidRPr="00537910">
        <w:rPr>
          <w:color w:val="3B3838" w:themeColor="background2" w:themeShade="40"/>
          <w:sz w:val="24"/>
          <w:szCs w:val="24"/>
        </w:rPr>
        <w:t xml:space="preserve"> Is it su</w:t>
      </w:r>
      <w:r>
        <w:rPr>
          <w:color w:val="3B3838" w:themeColor="background2" w:themeShade="40"/>
          <w:sz w:val="24"/>
          <w:szCs w:val="24"/>
        </w:rPr>
        <w:t>bject to an Article 4 Direction? Is it a Listed Building?</w:t>
      </w:r>
      <w:r w:rsidRPr="00537910">
        <w:rPr>
          <w:color w:val="3B3838" w:themeColor="background2" w:themeShade="40"/>
          <w:sz w:val="24"/>
          <w:szCs w:val="24"/>
        </w:rPr>
        <w:t xml:space="preserve"> These considerations may impact whether development to your property requires planning permission or not. An interactive map showing conservation areas and listed buildings can be </w:t>
      </w:r>
      <w:hyperlink r:id="rId6" w:anchor="/main?mapcfg=CamdenConservation&amp;lang=en-gb" w:history="1">
        <w:r w:rsidRPr="00537910">
          <w:rPr>
            <w:rStyle w:val="Hyperlink"/>
            <w:sz w:val="24"/>
            <w:szCs w:val="24"/>
          </w:rPr>
          <w:t>found here</w:t>
        </w:r>
      </w:hyperlink>
      <w:r w:rsidRPr="00537910">
        <w:rPr>
          <w:color w:val="3B3838" w:themeColor="background2" w:themeShade="40"/>
          <w:sz w:val="24"/>
          <w:szCs w:val="24"/>
        </w:rPr>
        <w:t xml:space="preserve">. Details of Article 4 Directions can be </w:t>
      </w:r>
      <w:hyperlink r:id="rId7" w:history="1">
        <w:r w:rsidRPr="00537910">
          <w:rPr>
            <w:rStyle w:val="Hyperlink"/>
            <w:sz w:val="24"/>
            <w:szCs w:val="24"/>
          </w:rPr>
          <w:t>found here</w:t>
        </w:r>
      </w:hyperlink>
      <w:r w:rsidRPr="00537910">
        <w:rPr>
          <w:color w:val="3B3838" w:themeColor="background2" w:themeShade="40"/>
          <w:sz w:val="24"/>
          <w:szCs w:val="24"/>
        </w:rPr>
        <w:t xml:space="preserve">. If you are uncertain please contact the planning service </w:t>
      </w:r>
      <w:hyperlink r:id="rId8" w:history="1">
        <w:r w:rsidRPr="00537910">
          <w:rPr>
            <w:rStyle w:val="Hyperlink"/>
            <w:color w:val="011830" w:themeColor="hyperlink" w:themeShade="40"/>
            <w:sz w:val="24"/>
            <w:szCs w:val="24"/>
          </w:rPr>
          <w:t>planning@camden.gov.uk</w:t>
        </w:r>
      </w:hyperlink>
      <w:r>
        <w:rPr>
          <w:color w:val="3B3838" w:themeColor="background2" w:themeShade="40"/>
          <w:sz w:val="28"/>
        </w:rPr>
        <w:t xml:space="preserve"> </w:t>
      </w:r>
    </w:p>
    <w:p w:rsidR="00C82991" w:rsidRDefault="00C82991" w:rsidP="00C82991">
      <w:pPr>
        <w:spacing w:after="0" w:line="240" w:lineRule="auto"/>
        <w:jc w:val="both"/>
        <w:rPr>
          <w:color w:val="3B3838" w:themeColor="background2" w:themeShade="40"/>
          <w:sz w:val="28"/>
        </w:rPr>
      </w:pPr>
    </w:p>
    <w:p w:rsidR="00C82991" w:rsidRPr="00692ACA" w:rsidRDefault="00C82991" w:rsidP="00C82991">
      <w:pPr>
        <w:jc w:val="both"/>
        <w:rPr>
          <w:b/>
          <w:color w:val="3B3838" w:themeColor="background2" w:themeShade="40"/>
          <w:sz w:val="8"/>
          <w:szCs w:val="24"/>
        </w:rPr>
      </w:pPr>
      <w:r w:rsidRPr="00773268">
        <w:rPr>
          <w:rStyle w:val="Hyperlink"/>
          <w:color w:val="011830" w:themeColor="hyperlink" w:themeShade="40"/>
          <w:sz w:val="24"/>
          <w:szCs w:val="24"/>
        </w:rPr>
        <w:t>List</w:t>
      </w:r>
      <w:r w:rsidRPr="00773268">
        <w:rPr>
          <w:color w:val="3B3838" w:themeColor="background2" w:themeShade="40"/>
          <w:sz w:val="24"/>
          <w:szCs w:val="24"/>
        </w:rPr>
        <w:t>ed Buildings</w:t>
      </w:r>
      <w:r>
        <w:rPr>
          <w:color w:val="3B3838" w:themeColor="background2" w:themeShade="40"/>
          <w:sz w:val="24"/>
          <w:szCs w:val="24"/>
        </w:rPr>
        <w:t xml:space="preserve"> - </w:t>
      </w:r>
      <w:r w:rsidRPr="00842936">
        <w:rPr>
          <w:color w:val="3B3838" w:themeColor="background2" w:themeShade="40"/>
          <w:sz w:val="24"/>
          <w:szCs w:val="24"/>
        </w:rPr>
        <w:t>before embarking on any internal or external works,</w:t>
      </w:r>
      <w:r>
        <w:rPr>
          <w:color w:val="3B3838" w:themeColor="background2" w:themeShade="40"/>
          <w:sz w:val="24"/>
          <w:szCs w:val="24"/>
        </w:rPr>
        <w:t xml:space="preserve"> please</w:t>
      </w:r>
      <w:r w:rsidRPr="00842936">
        <w:rPr>
          <w:color w:val="3B3838" w:themeColor="background2" w:themeShade="40"/>
          <w:sz w:val="24"/>
          <w:szCs w:val="24"/>
        </w:rPr>
        <w:t xml:space="preserve"> discuss the matter with a member of the built heritage Conservation Team (planning@camden.gov.uk) or apply for listed building consent</w:t>
      </w:r>
      <w:r>
        <w:rPr>
          <w:color w:val="3B3838" w:themeColor="background2" w:themeShade="40"/>
          <w:sz w:val="24"/>
          <w:szCs w:val="24"/>
        </w:rPr>
        <w:t xml:space="preserve">, details </w:t>
      </w:r>
      <w:hyperlink r:id="rId9" w:history="1">
        <w:r w:rsidRPr="00773268">
          <w:rPr>
            <w:rStyle w:val="Hyperlink"/>
            <w:sz w:val="24"/>
            <w:szCs w:val="24"/>
          </w:rPr>
          <w:t>available here</w:t>
        </w:r>
      </w:hyperlink>
      <w:r w:rsidRPr="00842936">
        <w:rPr>
          <w:color w:val="3B3838" w:themeColor="background2" w:themeShade="40"/>
          <w:sz w:val="24"/>
          <w:szCs w:val="24"/>
        </w:rPr>
        <w:t>. Listed building consent is always required for works that have the potential to affect the character or special interest of a listed building.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55"/>
      </w:tblGrid>
      <w:tr w:rsidR="00C82991" w:rsidRPr="008605D1" w:rsidTr="009346EE">
        <w:tc>
          <w:tcPr>
            <w:tcW w:w="3261" w:type="dxa"/>
          </w:tcPr>
          <w:p w:rsidR="00C82991" w:rsidRDefault="00C82991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8605D1">
              <w:rPr>
                <w:color w:val="3B3838" w:themeColor="background2" w:themeShade="40"/>
                <w:sz w:val="24"/>
                <w:szCs w:val="24"/>
              </w:rPr>
              <w:t>No designation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 (dwelling-house or flat)</w:t>
            </w:r>
          </w:p>
          <w:p w:rsidR="00C82991" w:rsidRPr="008605D1" w:rsidRDefault="00C82991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8605D1">
              <w:rPr>
                <w:color w:val="3B3838" w:themeColor="background2" w:themeShade="40"/>
                <w:sz w:val="24"/>
                <w:szCs w:val="24"/>
              </w:rPr>
              <w:t xml:space="preserve"> </w:t>
            </w:r>
          </w:p>
        </w:tc>
        <w:tc>
          <w:tcPr>
            <w:tcW w:w="5755" w:type="dxa"/>
          </w:tcPr>
          <w:p w:rsidR="00C82991" w:rsidRDefault="00C82991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 xml:space="preserve">Not considered development (planning permission is not required). </w:t>
            </w:r>
          </w:p>
          <w:p w:rsidR="00C82991" w:rsidRPr="008605D1" w:rsidRDefault="00C82991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C82991" w:rsidRPr="008605D1" w:rsidTr="009346EE">
        <w:tc>
          <w:tcPr>
            <w:tcW w:w="3261" w:type="dxa"/>
          </w:tcPr>
          <w:p w:rsidR="00C82991" w:rsidRDefault="00C82991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8605D1">
              <w:rPr>
                <w:color w:val="3B3838" w:themeColor="background2" w:themeShade="40"/>
                <w:sz w:val="24"/>
                <w:szCs w:val="24"/>
              </w:rPr>
              <w:t>Conservation Area (without Article 4 Direction</w:t>
            </w:r>
            <w:r>
              <w:rPr>
                <w:color w:val="3B3838" w:themeColor="background2" w:themeShade="40"/>
                <w:sz w:val="24"/>
                <w:szCs w:val="24"/>
              </w:rPr>
              <w:t>)</w:t>
            </w:r>
          </w:p>
          <w:p w:rsidR="00C82991" w:rsidRPr="008605D1" w:rsidRDefault="00C82991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755" w:type="dxa"/>
          </w:tcPr>
          <w:p w:rsidR="00C82991" w:rsidRDefault="00C82991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 xml:space="preserve">Not considered development (planning permission is not required). </w:t>
            </w:r>
          </w:p>
          <w:p w:rsidR="00C82991" w:rsidRPr="00444CFE" w:rsidRDefault="00C82991" w:rsidP="009346EE">
            <w:pPr>
              <w:jc w:val="both"/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C82991" w:rsidRPr="008605D1" w:rsidTr="009346EE">
        <w:tc>
          <w:tcPr>
            <w:tcW w:w="3261" w:type="dxa"/>
          </w:tcPr>
          <w:p w:rsidR="00C82991" w:rsidRDefault="00C82991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>Conservation Area (with Article 4 Direction)</w:t>
            </w:r>
          </w:p>
          <w:p w:rsidR="00C82991" w:rsidRPr="008605D1" w:rsidRDefault="00C82991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755" w:type="dxa"/>
          </w:tcPr>
          <w:p w:rsidR="00C82991" w:rsidRPr="008605D1" w:rsidRDefault="00C82991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 xml:space="preserve">Not considered development (planning permission is not required). </w:t>
            </w:r>
          </w:p>
        </w:tc>
      </w:tr>
      <w:tr w:rsidR="00C82991" w:rsidRPr="008605D1" w:rsidTr="009346EE">
        <w:tc>
          <w:tcPr>
            <w:tcW w:w="3261" w:type="dxa"/>
          </w:tcPr>
          <w:p w:rsidR="00C82991" w:rsidRPr="0081558A" w:rsidRDefault="00C82991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81558A">
              <w:rPr>
                <w:color w:val="3B3838" w:themeColor="background2" w:themeShade="40"/>
                <w:sz w:val="24"/>
                <w:szCs w:val="24"/>
              </w:rPr>
              <w:t>Listed Buildings</w:t>
            </w:r>
          </w:p>
        </w:tc>
        <w:tc>
          <w:tcPr>
            <w:tcW w:w="5755" w:type="dxa"/>
          </w:tcPr>
          <w:p w:rsidR="00C82991" w:rsidRPr="00C50335" w:rsidRDefault="00C82991" w:rsidP="009346EE">
            <w:pPr>
              <w:rPr>
                <w:b/>
                <w:color w:val="3B3838" w:themeColor="background2" w:themeShade="40"/>
                <w:sz w:val="24"/>
                <w:szCs w:val="24"/>
              </w:rPr>
            </w:pPr>
            <w:r w:rsidRPr="00C50335">
              <w:rPr>
                <w:b/>
                <w:color w:val="3B3838" w:themeColor="background2" w:themeShade="40"/>
                <w:sz w:val="24"/>
                <w:szCs w:val="24"/>
              </w:rPr>
              <w:t>Listed Building consent required</w:t>
            </w:r>
          </w:p>
          <w:p w:rsidR="00C82991" w:rsidRDefault="00C82991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A30DFA">
              <w:rPr>
                <w:color w:val="3B3838" w:themeColor="background2" w:themeShade="40"/>
                <w:sz w:val="24"/>
                <w:szCs w:val="24"/>
              </w:rPr>
              <w:t xml:space="preserve">Secondary glazing is often appropriate, provided it can be successfully integrated with internal features such as shutters. </w:t>
            </w:r>
          </w:p>
          <w:p w:rsidR="00C82991" w:rsidRPr="008605D1" w:rsidRDefault="00C82991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C82991" w:rsidRPr="008605D1" w:rsidTr="009346EE">
        <w:tc>
          <w:tcPr>
            <w:tcW w:w="3261" w:type="dxa"/>
          </w:tcPr>
          <w:p w:rsidR="00C82991" w:rsidRPr="0081558A" w:rsidRDefault="00C82991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81558A">
              <w:rPr>
                <w:color w:val="3B3838" w:themeColor="background2" w:themeShade="40"/>
                <w:sz w:val="24"/>
                <w:szCs w:val="24"/>
              </w:rPr>
              <w:t>Building Regulations</w:t>
            </w:r>
          </w:p>
        </w:tc>
        <w:tc>
          <w:tcPr>
            <w:tcW w:w="5755" w:type="dxa"/>
          </w:tcPr>
          <w:p w:rsidR="00C82991" w:rsidRPr="00825513" w:rsidRDefault="00C82991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825513">
              <w:rPr>
                <w:color w:val="3B3838" w:themeColor="background2" w:themeShade="40"/>
                <w:sz w:val="24"/>
                <w:szCs w:val="24"/>
              </w:rPr>
              <w:t>Part L (Conservation of fuel and power)</w:t>
            </w:r>
          </w:p>
          <w:p w:rsidR="00C82991" w:rsidRPr="00825513" w:rsidRDefault="00C82991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825513">
              <w:rPr>
                <w:color w:val="3B3838" w:themeColor="background2" w:themeShade="40"/>
                <w:sz w:val="24"/>
                <w:szCs w:val="24"/>
              </w:rPr>
              <w:t xml:space="preserve">Part N (Glazing safety) Not needed if installer is registered </w:t>
            </w:r>
          </w:p>
          <w:p w:rsidR="00C82991" w:rsidRDefault="00C82991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825513">
              <w:rPr>
                <w:color w:val="3B3838" w:themeColor="background2" w:themeShade="40"/>
                <w:sz w:val="24"/>
                <w:szCs w:val="24"/>
              </w:rPr>
              <w:t>under the Competent Persons Scheme</w:t>
            </w:r>
          </w:p>
          <w:p w:rsidR="00C82991" w:rsidRPr="008605D1" w:rsidRDefault="00C82991" w:rsidP="00C82991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 xml:space="preserve">Planning portal, Building Regulations information on glazing and doors, see </w:t>
            </w:r>
            <w:hyperlink r:id="rId10" w:history="1">
              <w:r w:rsidRPr="00F82973">
                <w:rPr>
                  <w:rStyle w:val="Hyperlink"/>
                  <w:sz w:val="24"/>
                  <w:szCs w:val="24"/>
                </w:rPr>
                <w:t>this webpage</w:t>
              </w:r>
            </w:hyperlink>
            <w:r>
              <w:rPr>
                <w:color w:val="3B3838" w:themeColor="background2" w:themeShade="40"/>
                <w:sz w:val="24"/>
                <w:szCs w:val="24"/>
              </w:rPr>
              <w:t>.</w:t>
            </w:r>
          </w:p>
        </w:tc>
      </w:tr>
    </w:tbl>
    <w:p w:rsidR="00DF6DE4" w:rsidRDefault="00DF6DE4" w:rsidP="00C82991">
      <w:bookmarkStart w:id="0" w:name="_GoBack"/>
      <w:bookmarkEnd w:id="0"/>
    </w:p>
    <w:sectPr w:rsidR="00DF6DE4" w:rsidSect="00C8299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991" w:rsidRDefault="00C82991" w:rsidP="00C82991">
      <w:pPr>
        <w:spacing w:after="0" w:line="240" w:lineRule="auto"/>
      </w:pPr>
      <w:r>
        <w:separator/>
      </w:r>
    </w:p>
  </w:endnote>
  <w:endnote w:type="continuationSeparator" w:id="0">
    <w:p w:rsidR="00C82991" w:rsidRDefault="00C82991" w:rsidP="00C8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991" w:rsidRDefault="00C82991" w:rsidP="00C82991">
      <w:pPr>
        <w:spacing w:after="0" w:line="240" w:lineRule="auto"/>
      </w:pPr>
      <w:r>
        <w:separator/>
      </w:r>
    </w:p>
  </w:footnote>
  <w:footnote w:type="continuationSeparator" w:id="0">
    <w:p w:rsidR="00C82991" w:rsidRDefault="00C82991" w:rsidP="00C82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91"/>
    <w:rsid w:val="00C82991"/>
    <w:rsid w:val="00D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EE940"/>
  <w15:chartTrackingRefBased/>
  <w15:docId w15:val="{66C961FD-D24A-4F4C-8212-F8AE20DF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9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99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8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camden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mden.gov.uk/article-4-directions-heritage-and-conserv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a.camden.gov.uk/connect/analyst/mobil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planningportal.co.uk/info/200130/common_projects/14/doors_and_windows/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mden.gov.uk/listed-buil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Company>London Borough of Camden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Tulley</dc:creator>
  <cp:keywords/>
  <dc:description/>
  <cp:lastModifiedBy>Nicola Tulley</cp:lastModifiedBy>
  <cp:revision>1</cp:revision>
  <dcterms:created xsi:type="dcterms:W3CDTF">2020-12-21T12:43:00Z</dcterms:created>
  <dcterms:modified xsi:type="dcterms:W3CDTF">2020-12-21T12:44:00Z</dcterms:modified>
</cp:coreProperties>
</file>