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48C44" w14:textId="60E3CC50" w:rsidR="003A090E" w:rsidRDefault="003A090E"/>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7"/>
        <w:gridCol w:w="5496"/>
      </w:tblGrid>
      <w:tr w:rsidR="00D81B2B" w14:paraId="25473FAA" w14:textId="77777777" w:rsidTr="00C3770F">
        <w:trPr>
          <w:cantSplit/>
          <w:trHeight w:val="11527"/>
        </w:trPr>
        <w:tc>
          <w:tcPr>
            <w:tcW w:w="4537" w:type="dxa"/>
            <w:textDirection w:val="btLr"/>
          </w:tcPr>
          <w:p w14:paraId="0A446EFE" w14:textId="1AD36877" w:rsidR="00D81B2B" w:rsidRPr="00297CA1" w:rsidRDefault="00354463" w:rsidP="002840B5">
            <w:pPr>
              <w:pStyle w:val="TenderVerticalBigBlue"/>
              <w:spacing w:after="20"/>
              <w:rPr>
                <w:caps w:val="0"/>
                <w:snapToGrid w:val="0"/>
                <w:sz w:val="96"/>
                <w:szCs w:val="96"/>
              </w:rPr>
            </w:pPr>
            <w:r>
              <w:rPr>
                <w:caps w:val="0"/>
                <w:snapToGrid w:val="0"/>
                <w:sz w:val="96"/>
                <w:szCs w:val="96"/>
              </w:rPr>
              <w:t>London Borough of Camden</w:t>
            </w:r>
            <w:r w:rsidR="00741217">
              <w:rPr>
                <w:caps w:val="0"/>
                <w:snapToGrid w:val="0"/>
                <w:sz w:val="96"/>
                <w:szCs w:val="96"/>
              </w:rPr>
              <w:t xml:space="preserve"> Pension Fund</w:t>
            </w:r>
          </w:p>
          <w:p w14:paraId="7E62C117" w14:textId="24FDDB9C" w:rsidR="00D81B2B" w:rsidRDefault="00741217" w:rsidP="002840B5">
            <w:pPr>
              <w:pStyle w:val="Heading3"/>
              <w:rPr>
                <w:b w:val="0"/>
                <w:color w:val="4B4B4B"/>
                <w:sz w:val="36"/>
                <w:szCs w:val="36"/>
              </w:rPr>
            </w:pPr>
            <w:r>
              <w:rPr>
                <w:b w:val="0"/>
                <w:color w:val="4B4B4B"/>
                <w:sz w:val="36"/>
                <w:szCs w:val="36"/>
              </w:rPr>
              <w:t>Funding Strategy Statement</w:t>
            </w:r>
          </w:p>
          <w:p w14:paraId="2D967FC0" w14:textId="77777777" w:rsidR="00066F40" w:rsidRPr="00066F40" w:rsidRDefault="00066F40" w:rsidP="00066F40">
            <w:pPr>
              <w:pStyle w:val="BodyTextGrey"/>
            </w:pPr>
          </w:p>
          <w:p w14:paraId="01AFADEA" w14:textId="1220790B" w:rsidR="00D81B2B" w:rsidRPr="00297CA1" w:rsidRDefault="007E3BA2" w:rsidP="00586C51">
            <w:pPr>
              <w:pStyle w:val="Heading3"/>
              <w:rPr>
                <w:color w:val="4B4B4B"/>
                <w:sz w:val="36"/>
                <w:szCs w:val="36"/>
              </w:rPr>
            </w:pPr>
            <w:r>
              <w:rPr>
                <w:b w:val="0"/>
                <w:color w:val="4B4B4B"/>
                <w:sz w:val="36"/>
                <w:szCs w:val="36"/>
              </w:rPr>
              <w:t xml:space="preserve"> </w:t>
            </w:r>
            <w:r w:rsidR="003803EF" w:rsidRPr="002F7970">
              <w:rPr>
                <w:b w:val="0"/>
                <w:color w:val="4B4B4B"/>
                <w:sz w:val="36"/>
                <w:szCs w:val="36"/>
              </w:rPr>
              <w:t xml:space="preserve">July </w:t>
            </w:r>
            <w:r w:rsidR="008D7476" w:rsidRPr="002F7970">
              <w:rPr>
                <w:b w:val="0"/>
                <w:color w:val="4B4B4B"/>
                <w:sz w:val="36"/>
                <w:szCs w:val="36"/>
              </w:rPr>
              <w:t xml:space="preserve"> 2021</w:t>
            </w:r>
          </w:p>
        </w:tc>
        <w:tc>
          <w:tcPr>
            <w:tcW w:w="5496" w:type="dxa"/>
            <w:vAlign w:val="bottom"/>
          </w:tcPr>
          <w:p w14:paraId="4BAF9039" w14:textId="3EB05962" w:rsidR="00066F40" w:rsidRDefault="00066F40" w:rsidP="008C1648">
            <w:pPr>
              <w:pStyle w:val="BodyTextGrey"/>
            </w:pPr>
          </w:p>
          <w:p w14:paraId="293CA69D" w14:textId="77777777" w:rsidR="00066F40" w:rsidRDefault="00066F40" w:rsidP="008C1648">
            <w:pPr>
              <w:pStyle w:val="BodyTextGrey"/>
            </w:pPr>
          </w:p>
          <w:p w14:paraId="16D09F97" w14:textId="77777777" w:rsidR="00066F40" w:rsidRDefault="00066F40" w:rsidP="008C1648">
            <w:pPr>
              <w:pStyle w:val="BodyTextGrey"/>
            </w:pPr>
          </w:p>
          <w:p w14:paraId="5C87336E" w14:textId="77777777" w:rsidR="00066F40" w:rsidRDefault="00066F40" w:rsidP="008C1648">
            <w:pPr>
              <w:pStyle w:val="BodyTextGrey"/>
            </w:pPr>
          </w:p>
          <w:p w14:paraId="49CCD90E" w14:textId="77777777" w:rsidR="00066F40" w:rsidRDefault="00066F40" w:rsidP="008C1648">
            <w:pPr>
              <w:pStyle w:val="BodyTextGrey"/>
            </w:pPr>
          </w:p>
          <w:p w14:paraId="52AFBC9C" w14:textId="77777777" w:rsidR="00066F40" w:rsidRDefault="00066F40" w:rsidP="008C1648">
            <w:pPr>
              <w:pStyle w:val="BodyTextGrey"/>
            </w:pPr>
          </w:p>
          <w:p w14:paraId="3AE3944C" w14:textId="77777777" w:rsidR="00066F40" w:rsidRDefault="00066F40" w:rsidP="008C1648">
            <w:pPr>
              <w:pStyle w:val="BodyTextGrey"/>
            </w:pPr>
          </w:p>
          <w:p w14:paraId="47BD0977" w14:textId="77777777" w:rsidR="00066F40" w:rsidRDefault="00066F40" w:rsidP="008C1648">
            <w:pPr>
              <w:pStyle w:val="BodyTextGrey"/>
            </w:pPr>
          </w:p>
          <w:p w14:paraId="3A20FC9D" w14:textId="77777777" w:rsidR="00066F40" w:rsidRDefault="00066F40" w:rsidP="008C1648">
            <w:pPr>
              <w:pStyle w:val="BodyTextGrey"/>
            </w:pPr>
          </w:p>
          <w:p w14:paraId="1E87D978" w14:textId="77777777" w:rsidR="00066F40" w:rsidRDefault="00066F40" w:rsidP="008C1648">
            <w:pPr>
              <w:pStyle w:val="BodyTextGrey"/>
            </w:pPr>
          </w:p>
          <w:p w14:paraId="5CAEA08A" w14:textId="77777777" w:rsidR="00066F40" w:rsidRDefault="00066F40" w:rsidP="008C1648">
            <w:pPr>
              <w:pStyle w:val="BodyTextGrey"/>
            </w:pPr>
          </w:p>
          <w:p w14:paraId="3251C711" w14:textId="77777777" w:rsidR="00066F40" w:rsidRDefault="00066F40" w:rsidP="008C1648">
            <w:pPr>
              <w:pStyle w:val="BodyTextGrey"/>
            </w:pPr>
          </w:p>
          <w:p w14:paraId="064EB776" w14:textId="77777777" w:rsidR="00433827" w:rsidRDefault="00433827" w:rsidP="008C1648">
            <w:pPr>
              <w:pStyle w:val="BodyTextGrey"/>
            </w:pPr>
          </w:p>
          <w:p w14:paraId="2C53C8B3" w14:textId="77777777" w:rsidR="00D81B2B" w:rsidRDefault="00D81B2B" w:rsidP="00CD67FF">
            <w:pPr>
              <w:pStyle w:val="BodyTextGrey"/>
            </w:pPr>
          </w:p>
        </w:tc>
      </w:tr>
    </w:tbl>
    <w:p w14:paraId="39621EEC" w14:textId="77777777" w:rsidR="00D81B2B" w:rsidRDefault="00D81B2B" w:rsidP="006D1568">
      <w:pPr>
        <w:pStyle w:val="BodyTextGrey"/>
      </w:pPr>
    </w:p>
    <w:p w14:paraId="04490620" w14:textId="77777777" w:rsidR="00D81B2B" w:rsidRDefault="00D81B2B" w:rsidP="006D1568">
      <w:pPr>
        <w:pStyle w:val="BodyTextGrey"/>
        <w:sectPr w:rsidR="00D81B2B" w:rsidSect="00426B89">
          <w:headerReference w:type="default" r:id="rId11"/>
          <w:footerReference w:type="default" r:id="rId12"/>
          <w:pgSz w:w="11909" w:h="16834" w:code="9"/>
          <w:pgMar w:top="1814" w:right="851" w:bottom="1134" w:left="1134" w:header="720" w:footer="720" w:gutter="0"/>
          <w:pgNumType w:start="3"/>
          <w:cols w:space="720"/>
          <w:docGrid w:linePitch="272"/>
        </w:sectPr>
      </w:pPr>
    </w:p>
    <w:p w14:paraId="007CAA8F" w14:textId="77777777" w:rsidR="00D81B2B" w:rsidRDefault="00D81B2B" w:rsidP="008C1648">
      <w:pPr>
        <w:pStyle w:val="BodyTextGrey"/>
      </w:pPr>
      <w:bookmarkStart w:id="0" w:name="Report_Description"/>
      <w:bookmarkEnd w:id="0"/>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1"/>
        <w:gridCol w:w="8080"/>
      </w:tblGrid>
      <w:tr w:rsidR="00D81B2B" w14:paraId="462D7DF0" w14:textId="77777777" w:rsidTr="005A51A7">
        <w:trPr>
          <w:cantSplit/>
          <w:trHeight w:val="11919"/>
        </w:trPr>
        <w:tc>
          <w:tcPr>
            <w:tcW w:w="1701" w:type="dxa"/>
            <w:textDirection w:val="btLr"/>
          </w:tcPr>
          <w:p w14:paraId="49A7D484" w14:textId="77777777" w:rsidR="00D81B2B" w:rsidRPr="00302D29" w:rsidRDefault="00D81B2B" w:rsidP="00302D29">
            <w:pPr>
              <w:pStyle w:val="StyleTenderVerticalBigBlue48ptLeft02cmRight02"/>
            </w:pPr>
            <w:r w:rsidRPr="00302D29">
              <w:t>C</w:t>
            </w:r>
            <w:r w:rsidR="00302D29" w:rsidRPr="00302D29">
              <w:t>ontents</w:t>
            </w:r>
          </w:p>
          <w:p w14:paraId="46909802" w14:textId="77777777" w:rsidR="00D81B2B" w:rsidRDefault="00D81B2B" w:rsidP="00C3770F">
            <w:pPr>
              <w:ind w:left="113" w:right="113"/>
            </w:pPr>
          </w:p>
        </w:tc>
        <w:tc>
          <w:tcPr>
            <w:tcW w:w="8080" w:type="dxa"/>
            <w:vAlign w:val="bottom"/>
          </w:tcPr>
          <w:p w14:paraId="342451AE" w14:textId="7AABEEE6" w:rsidR="00C3770F" w:rsidRPr="006139D1" w:rsidRDefault="00741217" w:rsidP="007336DE">
            <w:pPr>
              <w:pStyle w:val="TenderBluetext"/>
              <w:rPr>
                <w:sz w:val="24"/>
                <w:szCs w:val="24"/>
              </w:rPr>
            </w:pPr>
            <w:r w:rsidRPr="006139D1">
              <w:rPr>
                <w:sz w:val="24"/>
                <w:szCs w:val="24"/>
              </w:rPr>
              <w:t>Funding Strategy Statement</w:t>
            </w:r>
            <w:r w:rsidR="00C3770F" w:rsidRPr="006139D1">
              <w:rPr>
                <w:sz w:val="24"/>
                <w:szCs w:val="24"/>
              </w:rPr>
              <w:tab/>
            </w:r>
            <w:r w:rsidR="00C3770F" w:rsidRPr="006139D1">
              <w:rPr>
                <w:color w:val="F06A00" w:themeColor="accent1"/>
                <w:sz w:val="24"/>
                <w:szCs w:val="24"/>
              </w:rPr>
              <w:t>PAGE</w:t>
            </w:r>
          </w:p>
          <w:p w14:paraId="705E4897" w14:textId="77777777" w:rsidR="00C3770F" w:rsidRPr="006139D1" w:rsidRDefault="00C3770F" w:rsidP="00BA6285">
            <w:pPr>
              <w:pStyle w:val="BodyTextGrey"/>
              <w:rPr>
                <w:sz w:val="24"/>
                <w:szCs w:val="24"/>
              </w:rPr>
            </w:pPr>
          </w:p>
          <w:p w14:paraId="10BC3AE7" w14:textId="0E3FBBE5" w:rsidR="00B33FA5" w:rsidRPr="006139D1" w:rsidRDefault="005B79E0" w:rsidP="005A51A7">
            <w:pPr>
              <w:pStyle w:val="TOC1"/>
              <w:tabs>
                <w:tab w:val="clear" w:pos="6124"/>
                <w:tab w:val="left" w:pos="6977"/>
              </w:tabs>
              <w:rPr>
                <w:rFonts w:asciiTheme="minorHAnsi" w:eastAsiaTheme="minorEastAsia" w:hAnsiTheme="minorHAnsi" w:cstheme="minorBidi"/>
                <w:iCs w:val="0"/>
                <w:noProof/>
                <w:color w:val="auto"/>
                <w:sz w:val="24"/>
                <w:szCs w:val="24"/>
              </w:rPr>
            </w:pPr>
            <w:r w:rsidRPr="006139D1">
              <w:rPr>
                <w:sz w:val="24"/>
                <w:szCs w:val="24"/>
              </w:rPr>
              <w:fldChar w:fldCharType="begin"/>
            </w:r>
            <w:r w:rsidR="00D81B2B" w:rsidRPr="006139D1">
              <w:rPr>
                <w:sz w:val="24"/>
                <w:szCs w:val="24"/>
              </w:rPr>
              <w:instrText xml:space="preserve"> TOC \h \z \t "Heading 1,1,Heading 1 Num,1" </w:instrText>
            </w:r>
            <w:r w:rsidRPr="006139D1">
              <w:rPr>
                <w:sz w:val="24"/>
                <w:szCs w:val="24"/>
              </w:rPr>
              <w:fldChar w:fldCharType="separate"/>
            </w:r>
            <w:hyperlink w:anchor="_Toc22839040" w:history="1">
              <w:r w:rsidR="00B33FA5" w:rsidRPr="006139D1">
                <w:rPr>
                  <w:rStyle w:val="Hyperlink"/>
                  <w:noProof/>
                  <w:sz w:val="24"/>
                  <w:szCs w:val="24"/>
                </w:rPr>
                <w:t>1</w:t>
              </w:r>
              <w:r w:rsidR="00B33FA5" w:rsidRPr="006139D1">
                <w:rPr>
                  <w:rFonts w:asciiTheme="minorHAnsi" w:eastAsiaTheme="minorEastAsia" w:hAnsiTheme="minorHAnsi" w:cstheme="minorBidi"/>
                  <w:iCs w:val="0"/>
                  <w:noProof/>
                  <w:color w:val="auto"/>
                  <w:sz w:val="24"/>
                  <w:szCs w:val="24"/>
                </w:rPr>
                <w:tab/>
              </w:r>
              <w:r w:rsidR="00B33FA5" w:rsidRPr="006139D1">
                <w:rPr>
                  <w:rStyle w:val="Hyperlink"/>
                  <w:noProof/>
                  <w:sz w:val="24"/>
                  <w:szCs w:val="24"/>
                </w:rPr>
                <w:t>Introduction</w:t>
              </w:r>
              <w:r w:rsidR="00B33FA5" w:rsidRPr="006139D1">
                <w:rPr>
                  <w:noProof/>
                  <w:webHidden/>
                  <w:sz w:val="24"/>
                  <w:szCs w:val="24"/>
                </w:rPr>
                <w:tab/>
              </w:r>
              <w:r w:rsidR="00B33FA5" w:rsidRPr="006139D1">
                <w:rPr>
                  <w:noProof/>
                  <w:webHidden/>
                  <w:sz w:val="24"/>
                  <w:szCs w:val="24"/>
                </w:rPr>
                <w:fldChar w:fldCharType="begin"/>
              </w:r>
              <w:r w:rsidR="00B33FA5" w:rsidRPr="006139D1">
                <w:rPr>
                  <w:noProof/>
                  <w:webHidden/>
                  <w:sz w:val="24"/>
                  <w:szCs w:val="24"/>
                </w:rPr>
                <w:instrText xml:space="preserve"> PAGEREF _Toc22839040 \h </w:instrText>
              </w:r>
              <w:r w:rsidR="00B33FA5" w:rsidRPr="006139D1">
                <w:rPr>
                  <w:noProof/>
                  <w:webHidden/>
                  <w:sz w:val="24"/>
                  <w:szCs w:val="24"/>
                </w:rPr>
              </w:r>
              <w:r w:rsidR="00B33FA5" w:rsidRPr="006139D1">
                <w:rPr>
                  <w:noProof/>
                  <w:webHidden/>
                  <w:sz w:val="24"/>
                  <w:szCs w:val="24"/>
                </w:rPr>
                <w:fldChar w:fldCharType="separate"/>
              </w:r>
              <w:r w:rsidR="005A51A7">
                <w:rPr>
                  <w:noProof/>
                  <w:webHidden/>
                  <w:sz w:val="24"/>
                  <w:szCs w:val="24"/>
                </w:rPr>
                <w:t>1</w:t>
              </w:r>
              <w:r w:rsidR="00B33FA5" w:rsidRPr="006139D1">
                <w:rPr>
                  <w:noProof/>
                  <w:webHidden/>
                  <w:sz w:val="24"/>
                  <w:szCs w:val="24"/>
                </w:rPr>
                <w:fldChar w:fldCharType="end"/>
              </w:r>
            </w:hyperlink>
          </w:p>
          <w:p w14:paraId="202C5B9A" w14:textId="636870F1" w:rsidR="00B33FA5" w:rsidRPr="006139D1" w:rsidRDefault="002F7970" w:rsidP="005A51A7">
            <w:pPr>
              <w:pStyle w:val="TOC1"/>
              <w:tabs>
                <w:tab w:val="clear" w:pos="6124"/>
                <w:tab w:val="left" w:pos="6977"/>
              </w:tabs>
              <w:rPr>
                <w:rFonts w:asciiTheme="minorHAnsi" w:eastAsiaTheme="minorEastAsia" w:hAnsiTheme="minorHAnsi" w:cstheme="minorBidi"/>
                <w:iCs w:val="0"/>
                <w:noProof/>
                <w:color w:val="auto"/>
                <w:sz w:val="24"/>
                <w:szCs w:val="24"/>
              </w:rPr>
            </w:pPr>
            <w:hyperlink w:anchor="_Toc22839041" w:history="1">
              <w:r w:rsidR="00B33FA5" w:rsidRPr="006139D1">
                <w:rPr>
                  <w:rStyle w:val="Hyperlink"/>
                  <w:noProof/>
                  <w:sz w:val="24"/>
                  <w:szCs w:val="24"/>
                </w:rPr>
                <w:t>2</w:t>
              </w:r>
              <w:r w:rsidR="00B33FA5" w:rsidRPr="006139D1">
                <w:rPr>
                  <w:rFonts w:asciiTheme="minorHAnsi" w:eastAsiaTheme="minorEastAsia" w:hAnsiTheme="minorHAnsi" w:cstheme="minorBidi"/>
                  <w:iCs w:val="0"/>
                  <w:noProof/>
                  <w:color w:val="auto"/>
                  <w:sz w:val="24"/>
                  <w:szCs w:val="24"/>
                </w:rPr>
                <w:tab/>
              </w:r>
              <w:r w:rsidR="00B33FA5" w:rsidRPr="006139D1">
                <w:rPr>
                  <w:rStyle w:val="Hyperlink"/>
                  <w:noProof/>
                  <w:sz w:val="24"/>
                  <w:szCs w:val="24"/>
                </w:rPr>
                <w:t>Basic Funding issues</w:t>
              </w:r>
              <w:r w:rsidR="00B33FA5" w:rsidRPr="006139D1">
                <w:rPr>
                  <w:noProof/>
                  <w:webHidden/>
                  <w:sz w:val="24"/>
                  <w:szCs w:val="24"/>
                </w:rPr>
                <w:tab/>
              </w:r>
              <w:r w:rsidR="00B33FA5" w:rsidRPr="006139D1">
                <w:rPr>
                  <w:noProof/>
                  <w:webHidden/>
                  <w:sz w:val="24"/>
                  <w:szCs w:val="24"/>
                </w:rPr>
                <w:fldChar w:fldCharType="begin"/>
              </w:r>
              <w:r w:rsidR="00B33FA5" w:rsidRPr="006139D1">
                <w:rPr>
                  <w:noProof/>
                  <w:webHidden/>
                  <w:sz w:val="24"/>
                  <w:szCs w:val="24"/>
                </w:rPr>
                <w:instrText xml:space="preserve"> PAGEREF _Toc22839041 \h </w:instrText>
              </w:r>
              <w:r w:rsidR="00B33FA5" w:rsidRPr="006139D1">
                <w:rPr>
                  <w:noProof/>
                  <w:webHidden/>
                  <w:sz w:val="24"/>
                  <w:szCs w:val="24"/>
                </w:rPr>
              </w:r>
              <w:r w:rsidR="00B33FA5" w:rsidRPr="006139D1">
                <w:rPr>
                  <w:noProof/>
                  <w:webHidden/>
                  <w:sz w:val="24"/>
                  <w:szCs w:val="24"/>
                </w:rPr>
                <w:fldChar w:fldCharType="separate"/>
              </w:r>
              <w:r w:rsidR="005A51A7">
                <w:rPr>
                  <w:noProof/>
                  <w:webHidden/>
                  <w:sz w:val="24"/>
                  <w:szCs w:val="24"/>
                </w:rPr>
                <w:t>4</w:t>
              </w:r>
              <w:r w:rsidR="00B33FA5" w:rsidRPr="006139D1">
                <w:rPr>
                  <w:noProof/>
                  <w:webHidden/>
                  <w:sz w:val="24"/>
                  <w:szCs w:val="24"/>
                </w:rPr>
                <w:fldChar w:fldCharType="end"/>
              </w:r>
            </w:hyperlink>
          </w:p>
          <w:p w14:paraId="60C2F8D0" w14:textId="6E8FE46A" w:rsidR="00B33FA5" w:rsidRPr="006139D1" w:rsidRDefault="002F7970" w:rsidP="005A51A7">
            <w:pPr>
              <w:pStyle w:val="TOC1"/>
              <w:tabs>
                <w:tab w:val="clear" w:pos="6124"/>
                <w:tab w:val="left" w:pos="6977"/>
              </w:tabs>
              <w:rPr>
                <w:rFonts w:asciiTheme="minorHAnsi" w:eastAsiaTheme="minorEastAsia" w:hAnsiTheme="minorHAnsi" w:cstheme="minorBidi"/>
                <w:iCs w:val="0"/>
                <w:noProof/>
                <w:color w:val="auto"/>
                <w:sz w:val="24"/>
                <w:szCs w:val="24"/>
              </w:rPr>
            </w:pPr>
            <w:hyperlink w:anchor="_Toc22839042" w:history="1">
              <w:r w:rsidR="00B33FA5" w:rsidRPr="006139D1">
                <w:rPr>
                  <w:rStyle w:val="Hyperlink"/>
                  <w:noProof/>
                  <w:sz w:val="24"/>
                  <w:szCs w:val="24"/>
                </w:rPr>
                <w:t>3</w:t>
              </w:r>
              <w:r w:rsidR="00B33FA5" w:rsidRPr="006139D1">
                <w:rPr>
                  <w:rFonts w:asciiTheme="minorHAnsi" w:eastAsiaTheme="minorEastAsia" w:hAnsiTheme="minorHAnsi" w:cstheme="minorBidi"/>
                  <w:iCs w:val="0"/>
                  <w:noProof/>
                  <w:color w:val="auto"/>
                  <w:sz w:val="24"/>
                  <w:szCs w:val="24"/>
                </w:rPr>
                <w:tab/>
              </w:r>
              <w:r w:rsidR="00B33FA5" w:rsidRPr="006139D1">
                <w:rPr>
                  <w:rStyle w:val="Hyperlink"/>
                  <w:noProof/>
                  <w:sz w:val="24"/>
                  <w:szCs w:val="24"/>
                </w:rPr>
                <w:t>Calculating contributions for individual Employers</w:t>
              </w:r>
              <w:r w:rsidR="00B33FA5" w:rsidRPr="006139D1">
                <w:rPr>
                  <w:noProof/>
                  <w:webHidden/>
                  <w:sz w:val="24"/>
                  <w:szCs w:val="24"/>
                </w:rPr>
                <w:tab/>
              </w:r>
              <w:r w:rsidR="00B33FA5" w:rsidRPr="006139D1">
                <w:rPr>
                  <w:noProof/>
                  <w:webHidden/>
                  <w:sz w:val="24"/>
                  <w:szCs w:val="24"/>
                </w:rPr>
                <w:fldChar w:fldCharType="begin"/>
              </w:r>
              <w:r w:rsidR="00B33FA5" w:rsidRPr="006139D1">
                <w:rPr>
                  <w:noProof/>
                  <w:webHidden/>
                  <w:sz w:val="24"/>
                  <w:szCs w:val="24"/>
                </w:rPr>
                <w:instrText xml:space="preserve"> PAGEREF _Toc22839042 \h </w:instrText>
              </w:r>
              <w:r w:rsidR="00B33FA5" w:rsidRPr="006139D1">
                <w:rPr>
                  <w:noProof/>
                  <w:webHidden/>
                  <w:sz w:val="24"/>
                  <w:szCs w:val="24"/>
                </w:rPr>
              </w:r>
              <w:r w:rsidR="00B33FA5" w:rsidRPr="006139D1">
                <w:rPr>
                  <w:noProof/>
                  <w:webHidden/>
                  <w:sz w:val="24"/>
                  <w:szCs w:val="24"/>
                </w:rPr>
                <w:fldChar w:fldCharType="separate"/>
              </w:r>
              <w:r w:rsidR="005A51A7">
                <w:rPr>
                  <w:noProof/>
                  <w:webHidden/>
                  <w:sz w:val="24"/>
                  <w:szCs w:val="24"/>
                </w:rPr>
                <w:t>9</w:t>
              </w:r>
              <w:r w:rsidR="00B33FA5" w:rsidRPr="006139D1">
                <w:rPr>
                  <w:noProof/>
                  <w:webHidden/>
                  <w:sz w:val="24"/>
                  <w:szCs w:val="24"/>
                </w:rPr>
                <w:fldChar w:fldCharType="end"/>
              </w:r>
            </w:hyperlink>
          </w:p>
          <w:p w14:paraId="32D0238C" w14:textId="31850C74" w:rsidR="00B33FA5" w:rsidRPr="006139D1" w:rsidRDefault="002F7970" w:rsidP="005A51A7">
            <w:pPr>
              <w:pStyle w:val="TOC1"/>
              <w:tabs>
                <w:tab w:val="clear" w:pos="6124"/>
                <w:tab w:val="left" w:pos="6977"/>
              </w:tabs>
              <w:rPr>
                <w:rFonts w:asciiTheme="minorHAnsi" w:eastAsiaTheme="minorEastAsia" w:hAnsiTheme="minorHAnsi" w:cstheme="minorBidi"/>
                <w:iCs w:val="0"/>
                <w:noProof/>
                <w:color w:val="auto"/>
                <w:sz w:val="24"/>
                <w:szCs w:val="24"/>
              </w:rPr>
            </w:pPr>
            <w:hyperlink w:anchor="_Toc22839043" w:history="1">
              <w:r w:rsidR="00B33FA5" w:rsidRPr="006139D1">
                <w:rPr>
                  <w:rStyle w:val="Hyperlink"/>
                  <w:noProof/>
                  <w:sz w:val="24"/>
                  <w:szCs w:val="24"/>
                </w:rPr>
                <w:t>4</w:t>
              </w:r>
              <w:r w:rsidR="00B33FA5" w:rsidRPr="006139D1">
                <w:rPr>
                  <w:rFonts w:asciiTheme="minorHAnsi" w:eastAsiaTheme="minorEastAsia" w:hAnsiTheme="minorHAnsi" w:cstheme="minorBidi"/>
                  <w:iCs w:val="0"/>
                  <w:noProof/>
                  <w:color w:val="auto"/>
                  <w:sz w:val="24"/>
                  <w:szCs w:val="24"/>
                </w:rPr>
                <w:tab/>
              </w:r>
              <w:r w:rsidR="00B33FA5" w:rsidRPr="006139D1">
                <w:rPr>
                  <w:rStyle w:val="Hyperlink"/>
                  <w:noProof/>
                  <w:sz w:val="24"/>
                  <w:szCs w:val="24"/>
                </w:rPr>
                <w:t>Funding strategy and links to investment strategy</w:t>
              </w:r>
              <w:r w:rsidR="00B33FA5" w:rsidRPr="006139D1">
                <w:rPr>
                  <w:noProof/>
                  <w:webHidden/>
                  <w:sz w:val="24"/>
                  <w:szCs w:val="24"/>
                </w:rPr>
                <w:tab/>
              </w:r>
              <w:r w:rsidR="00B33FA5" w:rsidRPr="006139D1">
                <w:rPr>
                  <w:noProof/>
                  <w:webHidden/>
                  <w:sz w:val="24"/>
                  <w:szCs w:val="24"/>
                </w:rPr>
                <w:fldChar w:fldCharType="begin"/>
              </w:r>
              <w:r w:rsidR="00B33FA5" w:rsidRPr="006139D1">
                <w:rPr>
                  <w:noProof/>
                  <w:webHidden/>
                  <w:sz w:val="24"/>
                  <w:szCs w:val="24"/>
                </w:rPr>
                <w:instrText xml:space="preserve"> PAGEREF _Toc22839043 \h </w:instrText>
              </w:r>
              <w:r w:rsidR="00B33FA5" w:rsidRPr="006139D1">
                <w:rPr>
                  <w:noProof/>
                  <w:webHidden/>
                  <w:sz w:val="24"/>
                  <w:szCs w:val="24"/>
                </w:rPr>
              </w:r>
              <w:r w:rsidR="00B33FA5" w:rsidRPr="006139D1">
                <w:rPr>
                  <w:noProof/>
                  <w:webHidden/>
                  <w:sz w:val="24"/>
                  <w:szCs w:val="24"/>
                </w:rPr>
                <w:fldChar w:fldCharType="separate"/>
              </w:r>
              <w:r w:rsidR="005A51A7">
                <w:rPr>
                  <w:noProof/>
                  <w:webHidden/>
                  <w:sz w:val="24"/>
                  <w:szCs w:val="24"/>
                </w:rPr>
                <w:t>24</w:t>
              </w:r>
              <w:r w:rsidR="00B33FA5" w:rsidRPr="006139D1">
                <w:rPr>
                  <w:noProof/>
                  <w:webHidden/>
                  <w:sz w:val="24"/>
                  <w:szCs w:val="24"/>
                </w:rPr>
                <w:fldChar w:fldCharType="end"/>
              </w:r>
            </w:hyperlink>
          </w:p>
          <w:p w14:paraId="75F07F7B" w14:textId="39A61AFC" w:rsidR="00B33FA5" w:rsidRPr="006139D1" w:rsidRDefault="002F7970" w:rsidP="005A51A7">
            <w:pPr>
              <w:pStyle w:val="TOC1"/>
              <w:tabs>
                <w:tab w:val="clear" w:pos="6124"/>
                <w:tab w:val="left" w:pos="6977"/>
              </w:tabs>
              <w:rPr>
                <w:rFonts w:asciiTheme="minorHAnsi" w:eastAsiaTheme="minorEastAsia" w:hAnsiTheme="minorHAnsi" w:cstheme="minorBidi"/>
                <w:iCs w:val="0"/>
                <w:noProof/>
                <w:color w:val="auto"/>
                <w:sz w:val="24"/>
                <w:szCs w:val="24"/>
              </w:rPr>
            </w:pPr>
            <w:hyperlink w:anchor="_Toc22839044" w:history="1">
              <w:r w:rsidR="00B33FA5" w:rsidRPr="006139D1">
                <w:rPr>
                  <w:rStyle w:val="Hyperlink"/>
                  <w:noProof/>
                  <w:sz w:val="24"/>
                  <w:szCs w:val="24"/>
                </w:rPr>
                <w:t>5</w:t>
              </w:r>
              <w:r w:rsidR="00B33FA5" w:rsidRPr="006139D1">
                <w:rPr>
                  <w:rFonts w:asciiTheme="minorHAnsi" w:eastAsiaTheme="minorEastAsia" w:hAnsiTheme="minorHAnsi" w:cstheme="minorBidi"/>
                  <w:iCs w:val="0"/>
                  <w:noProof/>
                  <w:color w:val="auto"/>
                  <w:sz w:val="24"/>
                  <w:szCs w:val="24"/>
                </w:rPr>
                <w:tab/>
              </w:r>
              <w:r w:rsidR="00B33FA5" w:rsidRPr="006139D1">
                <w:rPr>
                  <w:rStyle w:val="Hyperlink"/>
                  <w:noProof/>
                  <w:sz w:val="24"/>
                  <w:szCs w:val="24"/>
                </w:rPr>
                <w:t>Statutory reporting and comparison to other LGPS Funds</w:t>
              </w:r>
              <w:r w:rsidR="00B33FA5" w:rsidRPr="006139D1">
                <w:rPr>
                  <w:noProof/>
                  <w:webHidden/>
                  <w:sz w:val="24"/>
                  <w:szCs w:val="24"/>
                </w:rPr>
                <w:tab/>
              </w:r>
              <w:r w:rsidR="00B33FA5" w:rsidRPr="006139D1">
                <w:rPr>
                  <w:noProof/>
                  <w:webHidden/>
                  <w:sz w:val="24"/>
                  <w:szCs w:val="24"/>
                </w:rPr>
                <w:fldChar w:fldCharType="begin"/>
              </w:r>
              <w:r w:rsidR="00B33FA5" w:rsidRPr="006139D1">
                <w:rPr>
                  <w:noProof/>
                  <w:webHidden/>
                  <w:sz w:val="24"/>
                  <w:szCs w:val="24"/>
                </w:rPr>
                <w:instrText xml:space="preserve"> PAGEREF _Toc22839044 \h </w:instrText>
              </w:r>
              <w:r w:rsidR="00B33FA5" w:rsidRPr="006139D1">
                <w:rPr>
                  <w:noProof/>
                  <w:webHidden/>
                  <w:sz w:val="24"/>
                  <w:szCs w:val="24"/>
                </w:rPr>
              </w:r>
              <w:r w:rsidR="00B33FA5" w:rsidRPr="006139D1">
                <w:rPr>
                  <w:noProof/>
                  <w:webHidden/>
                  <w:sz w:val="24"/>
                  <w:szCs w:val="24"/>
                </w:rPr>
                <w:fldChar w:fldCharType="separate"/>
              </w:r>
              <w:r w:rsidR="005A51A7">
                <w:rPr>
                  <w:noProof/>
                  <w:webHidden/>
                  <w:sz w:val="24"/>
                  <w:szCs w:val="24"/>
                </w:rPr>
                <w:t>25</w:t>
              </w:r>
              <w:r w:rsidR="00B33FA5" w:rsidRPr="006139D1">
                <w:rPr>
                  <w:noProof/>
                  <w:webHidden/>
                  <w:sz w:val="24"/>
                  <w:szCs w:val="24"/>
                </w:rPr>
                <w:fldChar w:fldCharType="end"/>
              </w:r>
            </w:hyperlink>
          </w:p>
          <w:p w14:paraId="265798C8" w14:textId="28A9FF35" w:rsidR="00B33FA5" w:rsidRPr="006139D1" w:rsidRDefault="00B33FA5" w:rsidP="005A51A7">
            <w:pPr>
              <w:pStyle w:val="TOC1"/>
              <w:tabs>
                <w:tab w:val="clear" w:pos="6124"/>
                <w:tab w:val="left" w:pos="6977"/>
                <w:tab w:val="left" w:pos="7119"/>
              </w:tabs>
              <w:rPr>
                <w:rFonts w:asciiTheme="minorHAnsi" w:eastAsiaTheme="minorEastAsia" w:hAnsiTheme="minorHAnsi" w:cstheme="minorBidi"/>
                <w:iCs w:val="0"/>
                <w:noProof/>
                <w:color w:val="auto"/>
                <w:sz w:val="24"/>
                <w:szCs w:val="24"/>
              </w:rPr>
            </w:pPr>
          </w:p>
          <w:p w14:paraId="3D2CB3EF" w14:textId="63321BB0" w:rsidR="00D81B2B" w:rsidRPr="006139D1" w:rsidRDefault="005B79E0" w:rsidP="005A51A7">
            <w:pPr>
              <w:pStyle w:val="BodyTextGrey"/>
              <w:tabs>
                <w:tab w:val="left" w:pos="6977"/>
              </w:tabs>
              <w:rPr>
                <w:sz w:val="24"/>
                <w:szCs w:val="24"/>
              </w:rPr>
            </w:pPr>
            <w:r w:rsidRPr="006139D1">
              <w:rPr>
                <w:sz w:val="24"/>
                <w:szCs w:val="24"/>
              </w:rPr>
              <w:fldChar w:fldCharType="end"/>
            </w:r>
          </w:p>
          <w:p w14:paraId="76FFA718" w14:textId="77777777" w:rsidR="00A80DE3" w:rsidRPr="006139D1" w:rsidRDefault="00A80DE3" w:rsidP="00BA6285">
            <w:pPr>
              <w:pStyle w:val="BodyTextGrey"/>
              <w:rPr>
                <w:sz w:val="24"/>
                <w:szCs w:val="24"/>
              </w:rPr>
            </w:pPr>
          </w:p>
          <w:p w14:paraId="48BA4AAA" w14:textId="77777777" w:rsidR="00D81B2B" w:rsidRPr="006139D1" w:rsidRDefault="00D81B2B" w:rsidP="007336DE">
            <w:pPr>
              <w:pStyle w:val="TenderBluetext"/>
              <w:rPr>
                <w:sz w:val="24"/>
                <w:szCs w:val="24"/>
              </w:rPr>
            </w:pPr>
            <w:r w:rsidRPr="006139D1">
              <w:rPr>
                <w:sz w:val="24"/>
                <w:szCs w:val="24"/>
              </w:rPr>
              <w:t>Appendices</w:t>
            </w:r>
          </w:p>
          <w:p w14:paraId="2DCF3AD8" w14:textId="77777777" w:rsidR="00C3770F" w:rsidRPr="006139D1" w:rsidRDefault="00C3770F" w:rsidP="00C3770F">
            <w:pPr>
              <w:pStyle w:val="BodyTextGrey"/>
              <w:rPr>
                <w:sz w:val="24"/>
                <w:szCs w:val="24"/>
              </w:rPr>
            </w:pPr>
          </w:p>
          <w:p w14:paraId="02113735" w14:textId="2BA7AA49" w:rsidR="00AF5BD9" w:rsidRPr="006139D1" w:rsidRDefault="005B79E0" w:rsidP="005A51A7">
            <w:pPr>
              <w:pStyle w:val="TOC1"/>
              <w:tabs>
                <w:tab w:val="clear" w:pos="6124"/>
                <w:tab w:val="left" w:pos="6977"/>
              </w:tabs>
              <w:rPr>
                <w:rFonts w:asciiTheme="minorHAnsi" w:eastAsiaTheme="minorEastAsia" w:hAnsiTheme="minorHAnsi" w:cstheme="minorBidi"/>
                <w:iCs w:val="0"/>
                <w:noProof/>
                <w:color w:val="auto"/>
                <w:sz w:val="24"/>
                <w:szCs w:val="24"/>
              </w:rPr>
            </w:pPr>
            <w:r w:rsidRPr="006139D1">
              <w:rPr>
                <w:noProof/>
                <w:sz w:val="24"/>
                <w:szCs w:val="24"/>
              </w:rPr>
              <w:fldChar w:fldCharType="begin"/>
            </w:r>
            <w:r w:rsidR="00D81B2B" w:rsidRPr="006139D1">
              <w:rPr>
                <w:noProof/>
                <w:sz w:val="24"/>
                <w:szCs w:val="24"/>
              </w:rPr>
              <w:instrText xml:space="preserve"> TOC \h \z \t "Appendix 1,1" </w:instrText>
            </w:r>
            <w:r w:rsidRPr="006139D1">
              <w:rPr>
                <w:noProof/>
                <w:sz w:val="24"/>
                <w:szCs w:val="24"/>
              </w:rPr>
              <w:fldChar w:fldCharType="separate"/>
            </w:r>
            <w:hyperlink w:anchor="_Toc357155092" w:history="1">
              <w:r w:rsidR="00AF5BD9" w:rsidRPr="006139D1">
                <w:rPr>
                  <w:rStyle w:val="Hyperlink"/>
                  <w:noProof/>
                  <w:sz w:val="24"/>
                  <w:szCs w:val="24"/>
                </w:rPr>
                <w:t>Appendix A – Regulatory framework</w:t>
              </w:r>
              <w:r w:rsidR="00AF5BD9" w:rsidRPr="006139D1">
                <w:rPr>
                  <w:noProof/>
                  <w:webHidden/>
                  <w:sz w:val="24"/>
                  <w:szCs w:val="24"/>
                </w:rPr>
                <w:tab/>
              </w:r>
              <w:r w:rsidR="00AF5BD9" w:rsidRPr="006139D1">
                <w:rPr>
                  <w:noProof/>
                  <w:webHidden/>
                  <w:sz w:val="24"/>
                  <w:szCs w:val="24"/>
                </w:rPr>
                <w:fldChar w:fldCharType="begin"/>
              </w:r>
              <w:r w:rsidR="00AF5BD9" w:rsidRPr="006139D1">
                <w:rPr>
                  <w:noProof/>
                  <w:webHidden/>
                  <w:sz w:val="24"/>
                  <w:szCs w:val="24"/>
                </w:rPr>
                <w:instrText xml:space="preserve"> PAGEREF _Toc357155092 \h </w:instrText>
              </w:r>
              <w:r w:rsidR="00AF5BD9" w:rsidRPr="006139D1">
                <w:rPr>
                  <w:noProof/>
                  <w:webHidden/>
                  <w:sz w:val="24"/>
                  <w:szCs w:val="24"/>
                </w:rPr>
              </w:r>
              <w:r w:rsidR="00AF5BD9" w:rsidRPr="006139D1">
                <w:rPr>
                  <w:noProof/>
                  <w:webHidden/>
                  <w:sz w:val="24"/>
                  <w:szCs w:val="24"/>
                </w:rPr>
                <w:fldChar w:fldCharType="separate"/>
              </w:r>
              <w:r w:rsidR="005B4E36">
                <w:rPr>
                  <w:noProof/>
                  <w:webHidden/>
                  <w:sz w:val="24"/>
                  <w:szCs w:val="24"/>
                </w:rPr>
                <w:t>2</w:t>
              </w:r>
              <w:r w:rsidR="00AF5BD9" w:rsidRPr="006139D1">
                <w:rPr>
                  <w:noProof/>
                  <w:webHidden/>
                  <w:sz w:val="24"/>
                  <w:szCs w:val="24"/>
                </w:rPr>
                <w:fldChar w:fldCharType="end"/>
              </w:r>
            </w:hyperlink>
            <w:r w:rsidR="00B33FA5">
              <w:rPr>
                <w:noProof/>
                <w:sz w:val="24"/>
                <w:szCs w:val="24"/>
              </w:rPr>
              <w:t>6</w:t>
            </w:r>
          </w:p>
          <w:p w14:paraId="697F8B59" w14:textId="5D3B159D" w:rsidR="00AF5BD9" w:rsidRPr="006139D1" w:rsidRDefault="002F7970" w:rsidP="005A51A7">
            <w:pPr>
              <w:pStyle w:val="TOC1"/>
              <w:tabs>
                <w:tab w:val="clear" w:pos="6124"/>
                <w:tab w:val="left" w:pos="6977"/>
              </w:tabs>
              <w:rPr>
                <w:rFonts w:asciiTheme="minorHAnsi" w:eastAsiaTheme="minorEastAsia" w:hAnsiTheme="minorHAnsi" w:cstheme="minorBidi"/>
                <w:iCs w:val="0"/>
                <w:noProof/>
                <w:color w:val="auto"/>
                <w:sz w:val="24"/>
                <w:szCs w:val="24"/>
              </w:rPr>
            </w:pPr>
            <w:hyperlink w:anchor="_Toc357155093" w:history="1">
              <w:r w:rsidR="00AF5BD9" w:rsidRPr="006139D1">
                <w:rPr>
                  <w:rStyle w:val="Hyperlink"/>
                  <w:noProof/>
                  <w:sz w:val="24"/>
                  <w:szCs w:val="24"/>
                </w:rPr>
                <w:t>Appendix B – Responsibilities of key parties</w:t>
              </w:r>
              <w:r w:rsidR="00AF5BD9" w:rsidRPr="006139D1">
                <w:rPr>
                  <w:noProof/>
                  <w:webHidden/>
                  <w:sz w:val="24"/>
                  <w:szCs w:val="24"/>
                </w:rPr>
                <w:tab/>
              </w:r>
              <w:r w:rsidR="00AF5BD9" w:rsidRPr="006139D1">
                <w:rPr>
                  <w:noProof/>
                  <w:webHidden/>
                  <w:sz w:val="24"/>
                  <w:szCs w:val="24"/>
                </w:rPr>
                <w:fldChar w:fldCharType="begin"/>
              </w:r>
              <w:r w:rsidR="00AF5BD9" w:rsidRPr="006139D1">
                <w:rPr>
                  <w:noProof/>
                  <w:webHidden/>
                  <w:sz w:val="24"/>
                  <w:szCs w:val="24"/>
                </w:rPr>
                <w:instrText xml:space="preserve"> PAGEREF _Toc357155093 \h </w:instrText>
              </w:r>
              <w:r w:rsidR="00AF5BD9" w:rsidRPr="006139D1">
                <w:rPr>
                  <w:noProof/>
                  <w:webHidden/>
                  <w:sz w:val="24"/>
                  <w:szCs w:val="24"/>
                </w:rPr>
              </w:r>
              <w:r w:rsidR="00AF5BD9" w:rsidRPr="006139D1">
                <w:rPr>
                  <w:noProof/>
                  <w:webHidden/>
                  <w:sz w:val="24"/>
                  <w:szCs w:val="24"/>
                </w:rPr>
                <w:fldChar w:fldCharType="separate"/>
              </w:r>
              <w:r w:rsidR="005B4E36">
                <w:rPr>
                  <w:noProof/>
                  <w:webHidden/>
                  <w:sz w:val="24"/>
                  <w:szCs w:val="24"/>
                </w:rPr>
                <w:t>29</w:t>
              </w:r>
              <w:r w:rsidR="00AF5BD9" w:rsidRPr="006139D1">
                <w:rPr>
                  <w:noProof/>
                  <w:webHidden/>
                  <w:sz w:val="24"/>
                  <w:szCs w:val="24"/>
                </w:rPr>
                <w:fldChar w:fldCharType="end"/>
              </w:r>
            </w:hyperlink>
          </w:p>
          <w:p w14:paraId="5D11BDC8" w14:textId="5C7DE98B" w:rsidR="00AF5BD9" w:rsidRPr="006139D1" w:rsidRDefault="002F7970" w:rsidP="005A51A7">
            <w:pPr>
              <w:pStyle w:val="TOC1"/>
              <w:tabs>
                <w:tab w:val="clear" w:pos="6124"/>
                <w:tab w:val="left" w:pos="6977"/>
              </w:tabs>
              <w:rPr>
                <w:rFonts w:asciiTheme="minorHAnsi" w:eastAsiaTheme="minorEastAsia" w:hAnsiTheme="minorHAnsi" w:cstheme="minorBidi"/>
                <w:iCs w:val="0"/>
                <w:noProof/>
                <w:color w:val="auto"/>
                <w:sz w:val="24"/>
                <w:szCs w:val="24"/>
              </w:rPr>
            </w:pPr>
            <w:hyperlink w:anchor="_Toc357155094" w:history="1">
              <w:r w:rsidR="00AF5BD9" w:rsidRPr="006139D1">
                <w:rPr>
                  <w:rStyle w:val="Hyperlink"/>
                  <w:noProof/>
                  <w:sz w:val="24"/>
                  <w:szCs w:val="24"/>
                </w:rPr>
                <w:t>Appendix C – Key risks and controls</w:t>
              </w:r>
              <w:r w:rsidR="00AF5BD9" w:rsidRPr="006139D1">
                <w:rPr>
                  <w:noProof/>
                  <w:webHidden/>
                  <w:sz w:val="24"/>
                  <w:szCs w:val="24"/>
                </w:rPr>
                <w:tab/>
              </w:r>
              <w:r w:rsidR="00AF5BD9" w:rsidRPr="006139D1">
                <w:rPr>
                  <w:noProof/>
                  <w:webHidden/>
                  <w:sz w:val="24"/>
                  <w:szCs w:val="24"/>
                </w:rPr>
                <w:fldChar w:fldCharType="begin"/>
              </w:r>
              <w:r w:rsidR="00AF5BD9" w:rsidRPr="006139D1">
                <w:rPr>
                  <w:noProof/>
                  <w:webHidden/>
                  <w:sz w:val="24"/>
                  <w:szCs w:val="24"/>
                </w:rPr>
                <w:instrText xml:space="preserve"> PAGEREF _Toc357155094 \h </w:instrText>
              </w:r>
              <w:r w:rsidR="00AF5BD9" w:rsidRPr="006139D1">
                <w:rPr>
                  <w:noProof/>
                  <w:webHidden/>
                  <w:sz w:val="24"/>
                  <w:szCs w:val="24"/>
                </w:rPr>
              </w:r>
              <w:r w:rsidR="00AF5BD9" w:rsidRPr="006139D1">
                <w:rPr>
                  <w:noProof/>
                  <w:webHidden/>
                  <w:sz w:val="24"/>
                  <w:szCs w:val="24"/>
                </w:rPr>
                <w:fldChar w:fldCharType="separate"/>
              </w:r>
              <w:r w:rsidR="005B4E36">
                <w:rPr>
                  <w:noProof/>
                  <w:webHidden/>
                  <w:sz w:val="24"/>
                  <w:szCs w:val="24"/>
                </w:rPr>
                <w:t>31</w:t>
              </w:r>
              <w:r w:rsidR="00AF5BD9" w:rsidRPr="006139D1">
                <w:rPr>
                  <w:noProof/>
                  <w:webHidden/>
                  <w:sz w:val="24"/>
                  <w:szCs w:val="24"/>
                </w:rPr>
                <w:fldChar w:fldCharType="end"/>
              </w:r>
            </w:hyperlink>
          </w:p>
          <w:p w14:paraId="0CAA9A72" w14:textId="62BFC841" w:rsidR="00AF5BD9" w:rsidRPr="006139D1" w:rsidRDefault="002F7970" w:rsidP="005A51A7">
            <w:pPr>
              <w:pStyle w:val="TOC1"/>
              <w:tabs>
                <w:tab w:val="clear" w:pos="6124"/>
                <w:tab w:val="left" w:pos="6977"/>
              </w:tabs>
              <w:rPr>
                <w:rFonts w:asciiTheme="minorHAnsi" w:eastAsiaTheme="minorEastAsia" w:hAnsiTheme="minorHAnsi" w:cstheme="minorBidi"/>
                <w:iCs w:val="0"/>
                <w:noProof/>
                <w:color w:val="auto"/>
                <w:sz w:val="24"/>
                <w:szCs w:val="24"/>
              </w:rPr>
            </w:pPr>
            <w:hyperlink w:anchor="_Toc357155095" w:history="1">
              <w:r w:rsidR="00AF5BD9" w:rsidRPr="006139D1">
                <w:rPr>
                  <w:rStyle w:val="Hyperlink"/>
                  <w:noProof/>
                  <w:sz w:val="24"/>
                  <w:szCs w:val="24"/>
                </w:rPr>
                <w:t>Appendix D – The calculation of Employer contributions</w:t>
              </w:r>
              <w:r w:rsidR="00AF5BD9" w:rsidRPr="006139D1">
                <w:rPr>
                  <w:noProof/>
                  <w:webHidden/>
                  <w:sz w:val="24"/>
                  <w:szCs w:val="24"/>
                </w:rPr>
                <w:tab/>
              </w:r>
              <w:r w:rsidR="00AF5BD9" w:rsidRPr="006139D1">
                <w:rPr>
                  <w:noProof/>
                  <w:webHidden/>
                  <w:sz w:val="24"/>
                  <w:szCs w:val="24"/>
                </w:rPr>
                <w:fldChar w:fldCharType="begin"/>
              </w:r>
              <w:r w:rsidR="00AF5BD9" w:rsidRPr="006139D1">
                <w:rPr>
                  <w:noProof/>
                  <w:webHidden/>
                  <w:sz w:val="24"/>
                  <w:szCs w:val="24"/>
                </w:rPr>
                <w:instrText xml:space="preserve"> PAGEREF _Toc357155095 \h </w:instrText>
              </w:r>
              <w:r w:rsidR="00AF5BD9" w:rsidRPr="006139D1">
                <w:rPr>
                  <w:noProof/>
                  <w:webHidden/>
                  <w:sz w:val="24"/>
                  <w:szCs w:val="24"/>
                </w:rPr>
              </w:r>
              <w:r w:rsidR="00AF5BD9" w:rsidRPr="006139D1">
                <w:rPr>
                  <w:noProof/>
                  <w:webHidden/>
                  <w:sz w:val="24"/>
                  <w:szCs w:val="24"/>
                </w:rPr>
                <w:fldChar w:fldCharType="separate"/>
              </w:r>
              <w:r w:rsidR="005B4E36">
                <w:rPr>
                  <w:noProof/>
                  <w:webHidden/>
                  <w:sz w:val="24"/>
                  <w:szCs w:val="24"/>
                </w:rPr>
                <w:t>37</w:t>
              </w:r>
              <w:r w:rsidR="00AF5BD9" w:rsidRPr="006139D1">
                <w:rPr>
                  <w:noProof/>
                  <w:webHidden/>
                  <w:sz w:val="24"/>
                  <w:szCs w:val="24"/>
                </w:rPr>
                <w:fldChar w:fldCharType="end"/>
              </w:r>
            </w:hyperlink>
          </w:p>
          <w:p w14:paraId="07F3B367" w14:textId="27C4AB1A" w:rsidR="00AF5BD9" w:rsidRPr="006139D1" w:rsidRDefault="002F7970" w:rsidP="005A51A7">
            <w:pPr>
              <w:pStyle w:val="TOC1"/>
              <w:tabs>
                <w:tab w:val="clear" w:pos="6124"/>
                <w:tab w:val="left" w:pos="6977"/>
              </w:tabs>
              <w:rPr>
                <w:rFonts w:asciiTheme="minorHAnsi" w:eastAsiaTheme="minorEastAsia" w:hAnsiTheme="minorHAnsi" w:cstheme="minorBidi"/>
                <w:iCs w:val="0"/>
                <w:noProof/>
                <w:color w:val="auto"/>
                <w:sz w:val="24"/>
                <w:szCs w:val="24"/>
              </w:rPr>
            </w:pPr>
            <w:hyperlink w:anchor="_Toc357155096" w:history="1">
              <w:r w:rsidR="00AF5BD9" w:rsidRPr="006139D1">
                <w:rPr>
                  <w:rStyle w:val="Hyperlink"/>
                  <w:noProof/>
                  <w:sz w:val="24"/>
                  <w:szCs w:val="24"/>
                </w:rPr>
                <w:t>Appendix E – Actuarial assumptions</w:t>
              </w:r>
              <w:r w:rsidR="00AF5BD9" w:rsidRPr="006139D1">
                <w:rPr>
                  <w:noProof/>
                  <w:webHidden/>
                  <w:sz w:val="24"/>
                  <w:szCs w:val="24"/>
                </w:rPr>
                <w:tab/>
              </w:r>
              <w:r w:rsidR="00AF5BD9" w:rsidRPr="006139D1">
                <w:rPr>
                  <w:noProof/>
                  <w:webHidden/>
                  <w:sz w:val="24"/>
                  <w:szCs w:val="24"/>
                </w:rPr>
                <w:fldChar w:fldCharType="begin"/>
              </w:r>
              <w:r w:rsidR="00AF5BD9" w:rsidRPr="006139D1">
                <w:rPr>
                  <w:noProof/>
                  <w:webHidden/>
                  <w:sz w:val="24"/>
                  <w:szCs w:val="24"/>
                </w:rPr>
                <w:instrText xml:space="preserve"> PAGEREF _Toc357155096 \h </w:instrText>
              </w:r>
              <w:r w:rsidR="00AF5BD9" w:rsidRPr="006139D1">
                <w:rPr>
                  <w:noProof/>
                  <w:webHidden/>
                  <w:sz w:val="24"/>
                  <w:szCs w:val="24"/>
                </w:rPr>
              </w:r>
              <w:r w:rsidR="00AF5BD9" w:rsidRPr="006139D1">
                <w:rPr>
                  <w:noProof/>
                  <w:webHidden/>
                  <w:sz w:val="24"/>
                  <w:szCs w:val="24"/>
                </w:rPr>
                <w:fldChar w:fldCharType="separate"/>
              </w:r>
              <w:r w:rsidR="005B4E36">
                <w:rPr>
                  <w:noProof/>
                  <w:webHidden/>
                  <w:sz w:val="24"/>
                  <w:szCs w:val="24"/>
                </w:rPr>
                <w:t>41</w:t>
              </w:r>
              <w:r w:rsidR="00AF5BD9" w:rsidRPr="006139D1">
                <w:rPr>
                  <w:noProof/>
                  <w:webHidden/>
                  <w:sz w:val="24"/>
                  <w:szCs w:val="24"/>
                </w:rPr>
                <w:fldChar w:fldCharType="end"/>
              </w:r>
            </w:hyperlink>
          </w:p>
          <w:p w14:paraId="2B361B6F" w14:textId="6B58FD66" w:rsidR="00AF5BD9" w:rsidRPr="006139D1" w:rsidRDefault="002F7970" w:rsidP="005A51A7">
            <w:pPr>
              <w:pStyle w:val="TOC1"/>
              <w:tabs>
                <w:tab w:val="clear" w:pos="6124"/>
                <w:tab w:val="left" w:pos="6977"/>
              </w:tabs>
              <w:rPr>
                <w:rFonts w:asciiTheme="minorHAnsi" w:eastAsiaTheme="minorEastAsia" w:hAnsiTheme="minorHAnsi" w:cstheme="minorBidi"/>
                <w:iCs w:val="0"/>
                <w:noProof/>
                <w:color w:val="auto"/>
                <w:sz w:val="24"/>
                <w:szCs w:val="24"/>
              </w:rPr>
            </w:pPr>
            <w:hyperlink w:anchor="_Toc357155097" w:history="1">
              <w:r w:rsidR="00AF5BD9" w:rsidRPr="006139D1">
                <w:rPr>
                  <w:rStyle w:val="Hyperlink"/>
                  <w:noProof/>
                  <w:sz w:val="24"/>
                  <w:szCs w:val="24"/>
                </w:rPr>
                <w:t>Appendix F – Glossary</w:t>
              </w:r>
              <w:r w:rsidR="00AF5BD9" w:rsidRPr="006139D1">
                <w:rPr>
                  <w:noProof/>
                  <w:webHidden/>
                  <w:sz w:val="24"/>
                  <w:szCs w:val="24"/>
                </w:rPr>
                <w:tab/>
              </w:r>
              <w:r w:rsidR="00AF5BD9" w:rsidRPr="006139D1">
                <w:rPr>
                  <w:noProof/>
                  <w:webHidden/>
                  <w:sz w:val="24"/>
                  <w:szCs w:val="24"/>
                </w:rPr>
                <w:fldChar w:fldCharType="begin"/>
              </w:r>
              <w:r w:rsidR="00AF5BD9" w:rsidRPr="006139D1">
                <w:rPr>
                  <w:noProof/>
                  <w:webHidden/>
                  <w:sz w:val="24"/>
                  <w:szCs w:val="24"/>
                </w:rPr>
                <w:instrText xml:space="preserve"> PAGEREF _Toc357155097 \h </w:instrText>
              </w:r>
              <w:r w:rsidR="00AF5BD9" w:rsidRPr="006139D1">
                <w:rPr>
                  <w:noProof/>
                  <w:webHidden/>
                  <w:sz w:val="24"/>
                  <w:szCs w:val="24"/>
                </w:rPr>
              </w:r>
              <w:r w:rsidR="00AF5BD9" w:rsidRPr="006139D1">
                <w:rPr>
                  <w:noProof/>
                  <w:webHidden/>
                  <w:sz w:val="24"/>
                  <w:szCs w:val="24"/>
                </w:rPr>
                <w:fldChar w:fldCharType="separate"/>
              </w:r>
              <w:r w:rsidR="005B4E36">
                <w:rPr>
                  <w:noProof/>
                  <w:webHidden/>
                  <w:sz w:val="24"/>
                  <w:szCs w:val="24"/>
                </w:rPr>
                <w:t>45</w:t>
              </w:r>
              <w:r w:rsidR="00AF5BD9" w:rsidRPr="006139D1">
                <w:rPr>
                  <w:noProof/>
                  <w:webHidden/>
                  <w:sz w:val="24"/>
                  <w:szCs w:val="24"/>
                </w:rPr>
                <w:fldChar w:fldCharType="end"/>
              </w:r>
            </w:hyperlink>
          </w:p>
          <w:p w14:paraId="55C740D2" w14:textId="77777777" w:rsidR="00D81B2B" w:rsidRPr="006139D1" w:rsidRDefault="005B79E0" w:rsidP="005A51A7">
            <w:pPr>
              <w:pStyle w:val="TOC1"/>
              <w:tabs>
                <w:tab w:val="clear" w:pos="6124"/>
                <w:tab w:val="left" w:pos="6977"/>
                <w:tab w:val="left" w:pos="11656"/>
              </w:tabs>
              <w:rPr>
                <w:noProof/>
                <w:sz w:val="24"/>
                <w:szCs w:val="24"/>
              </w:rPr>
            </w:pPr>
            <w:r w:rsidRPr="006139D1">
              <w:rPr>
                <w:noProof/>
                <w:sz w:val="24"/>
                <w:szCs w:val="24"/>
              </w:rPr>
              <w:fldChar w:fldCharType="end"/>
            </w:r>
          </w:p>
          <w:p w14:paraId="580EADC7" w14:textId="77777777" w:rsidR="00D81B2B" w:rsidRPr="006139D1" w:rsidRDefault="00D81B2B" w:rsidP="00C3770F">
            <w:pPr>
              <w:rPr>
                <w:sz w:val="24"/>
                <w:szCs w:val="24"/>
              </w:rPr>
            </w:pPr>
          </w:p>
        </w:tc>
      </w:tr>
    </w:tbl>
    <w:p w14:paraId="5A454770" w14:textId="77777777" w:rsidR="00D81B2B" w:rsidRDefault="00D81B2B" w:rsidP="00BA6285">
      <w:pPr>
        <w:pStyle w:val="BodyTextGrey"/>
        <w:sectPr w:rsidR="00D81B2B" w:rsidSect="00C3770F">
          <w:headerReference w:type="even" r:id="rId13"/>
          <w:headerReference w:type="default" r:id="rId14"/>
          <w:footerReference w:type="default" r:id="rId15"/>
          <w:headerReference w:type="first" r:id="rId16"/>
          <w:footerReference w:type="first" r:id="rId17"/>
          <w:pgSz w:w="11909" w:h="16834" w:code="9"/>
          <w:pgMar w:top="1814" w:right="851" w:bottom="1134" w:left="1134" w:header="720" w:footer="284" w:gutter="0"/>
          <w:pgNumType w:start="1"/>
          <w:cols w:space="720"/>
        </w:sectPr>
      </w:pPr>
    </w:p>
    <w:p w14:paraId="2ED27911" w14:textId="77777777" w:rsidR="00EA5AE2" w:rsidRDefault="00066F40" w:rsidP="00D23C8A">
      <w:pPr>
        <w:pStyle w:val="Heading1Num"/>
      </w:pPr>
      <w:bookmarkStart w:id="1" w:name="StartOfDocument"/>
      <w:bookmarkStart w:id="2" w:name="_Toc22839040"/>
      <w:bookmarkStart w:id="3" w:name="Section1"/>
      <w:r>
        <w:lastRenderedPageBreak/>
        <w:t>Introduction</w:t>
      </w:r>
      <w:bookmarkEnd w:id="1"/>
      <w:bookmarkEnd w:id="2"/>
    </w:p>
    <w:bookmarkEnd w:id="3"/>
    <w:p w14:paraId="5B7B51CC" w14:textId="77777777" w:rsidR="00066F40" w:rsidRPr="006139D1" w:rsidRDefault="00066F40" w:rsidP="00066F40">
      <w:pPr>
        <w:pStyle w:val="Heading2Num"/>
        <w:rPr>
          <w:sz w:val="24"/>
          <w:szCs w:val="24"/>
        </w:rPr>
      </w:pPr>
      <w:r w:rsidRPr="006139D1">
        <w:rPr>
          <w:sz w:val="24"/>
          <w:szCs w:val="24"/>
        </w:rPr>
        <w:t>What is this document?</w:t>
      </w:r>
    </w:p>
    <w:p w14:paraId="24FDEA09" w14:textId="48A2BAAF" w:rsidR="00066F40" w:rsidRPr="006139D1" w:rsidRDefault="00066F40" w:rsidP="00066F40">
      <w:pPr>
        <w:pStyle w:val="BodyTextGrey"/>
        <w:rPr>
          <w:sz w:val="24"/>
          <w:szCs w:val="24"/>
        </w:rPr>
      </w:pPr>
      <w:r w:rsidRPr="006139D1">
        <w:rPr>
          <w:sz w:val="24"/>
          <w:szCs w:val="24"/>
        </w:rPr>
        <w:t xml:space="preserve">This is the Funding Strategy Statement (FSS) of the </w:t>
      </w:r>
      <w:r w:rsidR="00354463" w:rsidRPr="006139D1">
        <w:rPr>
          <w:sz w:val="24"/>
          <w:szCs w:val="24"/>
        </w:rPr>
        <w:t>London Borough of Camden</w:t>
      </w:r>
      <w:r w:rsidRPr="006139D1">
        <w:rPr>
          <w:sz w:val="24"/>
          <w:szCs w:val="24"/>
        </w:rPr>
        <w:t xml:space="preserve"> Pension Fund (“the Fund”), which is administered by </w:t>
      </w:r>
      <w:r w:rsidR="00354463" w:rsidRPr="006139D1">
        <w:rPr>
          <w:sz w:val="24"/>
          <w:szCs w:val="24"/>
        </w:rPr>
        <w:t>the London Borough of Camden</w:t>
      </w:r>
      <w:r w:rsidRPr="006139D1">
        <w:rPr>
          <w:sz w:val="24"/>
          <w:szCs w:val="24"/>
        </w:rPr>
        <w:t xml:space="preserve">, (“the Administering Authority”). </w:t>
      </w:r>
    </w:p>
    <w:p w14:paraId="0800C1AC" w14:textId="7967BB3B" w:rsidR="00822CD0" w:rsidRPr="00822CD0" w:rsidRDefault="007E3BA2">
      <w:pPr>
        <w:pStyle w:val="BodyTextGrey"/>
      </w:pPr>
      <w:r w:rsidRPr="006139D1">
        <w:rPr>
          <w:sz w:val="24"/>
          <w:szCs w:val="24"/>
        </w:rPr>
        <w:t xml:space="preserve">It has been prepared by the Administering Authority in collaboration with the Fund’s actuary, Hymans Robertson LLP, and after consultation with the Fund’s employers and investment adviser.  It is effective from </w:t>
      </w:r>
      <w:r w:rsidR="0047779C">
        <w:rPr>
          <w:sz w:val="24"/>
          <w:szCs w:val="24"/>
        </w:rPr>
        <w:t>August 2021</w:t>
      </w:r>
      <w:r w:rsidR="00586C51">
        <w:rPr>
          <w:sz w:val="24"/>
          <w:szCs w:val="24"/>
        </w:rPr>
        <w:t>.</w:t>
      </w:r>
      <w:r w:rsidR="000656D9">
        <w:rPr>
          <w:sz w:val="24"/>
          <w:szCs w:val="24"/>
        </w:rPr>
        <w:t xml:space="preserve"> </w:t>
      </w:r>
      <w:r w:rsidR="000656D9" w:rsidRPr="002F7970">
        <w:rPr>
          <w:sz w:val="24"/>
          <w:szCs w:val="24"/>
        </w:rPr>
        <w:t>It has been updated from the March 2020 version to accommodate regulatory changes in 2020 relating to exit credits and employer flexibilities</w:t>
      </w:r>
      <w:r w:rsidR="006F67F9" w:rsidRPr="002F7970">
        <w:rPr>
          <w:sz w:val="24"/>
          <w:szCs w:val="24"/>
        </w:rPr>
        <w:t xml:space="preserve"> – see 3.3 notes (f) and (j) in particular</w:t>
      </w:r>
      <w:r w:rsidR="00CA68D5" w:rsidRPr="002F7970">
        <w:rPr>
          <w:sz w:val="24"/>
          <w:szCs w:val="24"/>
        </w:rPr>
        <w:t>.</w:t>
      </w:r>
    </w:p>
    <w:p w14:paraId="1D5299BE" w14:textId="1B7D2AF3" w:rsidR="00A134C9" w:rsidRPr="006139D1" w:rsidRDefault="009B7C3E">
      <w:pPr>
        <w:pStyle w:val="Heading2Num"/>
        <w:rPr>
          <w:sz w:val="24"/>
          <w:szCs w:val="24"/>
        </w:rPr>
      </w:pPr>
      <w:r w:rsidRPr="006139D1">
        <w:rPr>
          <w:sz w:val="24"/>
          <w:szCs w:val="24"/>
        </w:rPr>
        <w:t>What i</w:t>
      </w:r>
      <w:r w:rsidR="005D5484" w:rsidRPr="006139D1">
        <w:rPr>
          <w:sz w:val="24"/>
          <w:szCs w:val="24"/>
        </w:rPr>
        <w:t xml:space="preserve">s the </w:t>
      </w:r>
      <w:r w:rsidR="00354463" w:rsidRPr="006139D1">
        <w:rPr>
          <w:sz w:val="24"/>
          <w:szCs w:val="24"/>
        </w:rPr>
        <w:t>London Borough of Camden</w:t>
      </w:r>
      <w:r w:rsidR="005D5484" w:rsidRPr="006139D1">
        <w:rPr>
          <w:sz w:val="24"/>
          <w:szCs w:val="24"/>
        </w:rPr>
        <w:t xml:space="preserve"> Pension Fund?</w:t>
      </w:r>
    </w:p>
    <w:p w14:paraId="04E0BE95" w14:textId="19B3838E" w:rsidR="005D5484" w:rsidRPr="006139D1" w:rsidRDefault="005D5484" w:rsidP="005D5484">
      <w:pPr>
        <w:pStyle w:val="BodyTextGrey"/>
        <w:rPr>
          <w:sz w:val="24"/>
          <w:szCs w:val="24"/>
        </w:rPr>
      </w:pPr>
      <w:r w:rsidRPr="006139D1">
        <w:rPr>
          <w:sz w:val="24"/>
          <w:szCs w:val="24"/>
        </w:rPr>
        <w:t xml:space="preserve">The Fund is </w:t>
      </w:r>
      <w:r w:rsidR="002D2872" w:rsidRPr="006139D1">
        <w:rPr>
          <w:sz w:val="24"/>
          <w:szCs w:val="24"/>
        </w:rPr>
        <w:t>part of the national</w:t>
      </w:r>
      <w:r w:rsidRPr="006139D1">
        <w:rPr>
          <w:sz w:val="24"/>
          <w:szCs w:val="24"/>
        </w:rPr>
        <w:t xml:space="preserve"> Local Government Pension Scheme (LGPS).  The LGPS was set up by the UK Government to provide retirement and death benefits for local government employees, and those employed in similar or related bodies, across the whole of the UK.  The Administering Authority runs the </w:t>
      </w:r>
      <w:r w:rsidR="00354463" w:rsidRPr="006139D1">
        <w:rPr>
          <w:sz w:val="24"/>
          <w:szCs w:val="24"/>
        </w:rPr>
        <w:t>London Borough of Camden</w:t>
      </w:r>
      <w:r w:rsidRPr="006139D1">
        <w:rPr>
          <w:sz w:val="24"/>
          <w:szCs w:val="24"/>
        </w:rPr>
        <w:t xml:space="preserve"> </w:t>
      </w:r>
      <w:r w:rsidR="00354463" w:rsidRPr="006139D1">
        <w:rPr>
          <w:sz w:val="24"/>
          <w:szCs w:val="24"/>
        </w:rPr>
        <w:t xml:space="preserve">Pension </w:t>
      </w:r>
      <w:r w:rsidRPr="006139D1">
        <w:rPr>
          <w:sz w:val="24"/>
          <w:szCs w:val="24"/>
        </w:rPr>
        <w:t xml:space="preserve">Fund, </w:t>
      </w:r>
      <w:r w:rsidR="002D2872" w:rsidRPr="006139D1">
        <w:rPr>
          <w:sz w:val="24"/>
          <w:szCs w:val="24"/>
        </w:rPr>
        <w:t xml:space="preserve">in effect the LGPS for the </w:t>
      </w:r>
      <w:r w:rsidR="00354463" w:rsidRPr="006139D1">
        <w:rPr>
          <w:sz w:val="24"/>
          <w:szCs w:val="24"/>
        </w:rPr>
        <w:t>Camden</w:t>
      </w:r>
      <w:r w:rsidR="002D2872" w:rsidRPr="006139D1">
        <w:rPr>
          <w:sz w:val="24"/>
          <w:szCs w:val="24"/>
        </w:rPr>
        <w:t xml:space="preserve"> area, </w:t>
      </w:r>
      <w:r w:rsidRPr="006139D1">
        <w:rPr>
          <w:sz w:val="24"/>
          <w:szCs w:val="24"/>
        </w:rPr>
        <w:t xml:space="preserve">to make sure it: </w:t>
      </w:r>
    </w:p>
    <w:p w14:paraId="3CFC0237" w14:textId="77777777" w:rsidR="005D5484" w:rsidRPr="006139D1" w:rsidRDefault="005D5484" w:rsidP="00C728B0">
      <w:pPr>
        <w:pStyle w:val="BulletHymans"/>
        <w:numPr>
          <w:ilvl w:val="0"/>
          <w:numId w:val="32"/>
        </w:numPr>
        <w:ind w:left="567" w:hanging="567"/>
        <w:rPr>
          <w:sz w:val="24"/>
          <w:szCs w:val="24"/>
        </w:rPr>
      </w:pPr>
      <w:r w:rsidRPr="006139D1">
        <w:rPr>
          <w:sz w:val="24"/>
          <w:szCs w:val="24"/>
        </w:rPr>
        <w:t>receives the proper amount of contributions from employees and employers</w:t>
      </w:r>
      <w:r w:rsidR="002D2872" w:rsidRPr="006139D1">
        <w:rPr>
          <w:sz w:val="24"/>
          <w:szCs w:val="24"/>
        </w:rPr>
        <w:t>, and any transfer payments</w:t>
      </w:r>
      <w:r w:rsidRPr="006139D1">
        <w:rPr>
          <w:sz w:val="24"/>
          <w:szCs w:val="24"/>
        </w:rPr>
        <w:t>;</w:t>
      </w:r>
    </w:p>
    <w:p w14:paraId="2AEDD8A4" w14:textId="0429A702" w:rsidR="005D5484" w:rsidRPr="006139D1" w:rsidRDefault="005D5484" w:rsidP="00C728B0">
      <w:pPr>
        <w:pStyle w:val="BulletHymans"/>
        <w:numPr>
          <w:ilvl w:val="0"/>
          <w:numId w:val="32"/>
        </w:numPr>
        <w:ind w:left="567" w:hanging="567"/>
        <w:rPr>
          <w:sz w:val="24"/>
          <w:szCs w:val="24"/>
        </w:rPr>
      </w:pPr>
      <w:r w:rsidRPr="006139D1">
        <w:rPr>
          <w:sz w:val="24"/>
          <w:szCs w:val="24"/>
        </w:rPr>
        <w:t xml:space="preserve">invests the contributions </w:t>
      </w:r>
      <w:r w:rsidR="002D2872" w:rsidRPr="006139D1">
        <w:rPr>
          <w:sz w:val="24"/>
          <w:szCs w:val="24"/>
        </w:rPr>
        <w:t xml:space="preserve">appropriately, </w:t>
      </w:r>
      <w:r w:rsidRPr="006139D1">
        <w:rPr>
          <w:sz w:val="24"/>
          <w:szCs w:val="24"/>
        </w:rPr>
        <w:t>with the aim that the Fund’s assets grow over time with investment income and capital growth;</w:t>
      </w:r>
      <w:r w:rsidR="000F5A6F" w:rsidRPr="006139D1">
        <w:rPr>
          <w:sz w:val="24"/>
          <w:szCs w:val="24"/>
        </w:rPr>
        <w:t xml:space="preserve"> and</w:t>
      </w:r>
    </w:p>
    <w:p w14:paraId="019CCB32" w14:textId="77777777" w:rsidR="005D5484" w:rsidRPr="006139D1" w:rsidRDefault="005D5484" w:rsidP="00C728B0">
      <w:pPr>
        <w:pStyle w:val="BulletHymans"/>
        <w:numPr>
          <w:ilvl w:val="0"/>
          <w:numId w:val="32"/>
        </w:numPr>
        <w:ind w:left="567" w:hanging="567"/>
        <w:rPr>
          <w:sz w:val="24"/>
          <w:szCs w:val="24"/>
        </w:rPr>
      </w:pPr>
      <w:r w:rsidRPr="006139D1">
        <w:rPr>
          <w:sz w:val="24"/>
          <w:szCs w:val="24"/>
        </w:rPr>
        <w:t>uses the assets to pay Fund benefits to the members (as and when they retire, for the rest of their lives), and to their dependants (as and when members die)</w:t>
      </w:r>
      <w:r w:rsidR="002D2872" w:rsidRPr="006139D1">
        <w:rPr>
          <w:sz w:val="24"/>
          <w:szCs w:val="24"/>
        </w:rPr>
        <w:t>, as defined in the LGPS Regulations</w:t>
      </w:r>
      <w:r w:rsidRPr="006139D1">
        <w:rPr>
          <w:sz w:val="24"/>
          <w:szCs w:val="24"/>
        </w:rPr>
        <w:t>.</w:t>
      </w:r>
      <w:r w:rsidR="002D2872" w:rsidRPr="006139D1">
        <w:rPr>
          <w:sz w:val="24"/>
          <w:szCs w:val="24"/>
        </w:rPr>
        <w:t xml:space="preserve"> Assets are also used to pay transfer values and administration costs.</w:t>
      </w:r>
    </w:p>
    <w:p w14:paraId="772BF8CE" w14:textId="23F78C8E" w:rsidR="005D5484" w:rsidRPr="006139D1" w:rsidRDefault="005D5484" w:rsidP="005D5484">
      <w:pPr>
        <w:pStyle w:val="BodyTextGrey"/>
        <w:rPr>
          <w:sz w:val="24"/>
          <w:szCs w:val="24"/>
        </w:rPr>
      </w:pPr>
      <w:r w:rsidRPr="006139D1">
        <w:rPr>
          <w:sz w:val="24"/>
          <w:szCs w:val="24"/>
        </w:rPr>
        <w:t xml:space="preserve">The roles and responsibilities of the key parties involved in the management of the Fund are summarised in </w:t>
      </w:r>
      <w:hyperlink w:anchor="AppendixB" w:history="1">
        <w:r w:rsidRPr="006139D1">
          <w:rPr>
            <w:rStyle w:val="Hyperlink"/>
            <w:sz w:val="24"/>
            <w:szCs w:val="24"/>
          </w:rPr>
          <w:t>Appendix B</w:t>
        </w:r>
      </w:hyperlink>
      <w:r w:rsidRPr="006139D1">
        <w:rPr>
          <w:sz w:val="24"/>
          <w:szCs w:val="24"/>
        </w:rPr>
        <w:t>.</w:t>
      </w:r>
    </w:p>
    <w:p w14:paraId="6CF4E727" w14:textId="77777777" w:rsidR="005D5484" w:rsidRPr="006139D1" w:rsidRDefault="005D5484" w:rsidP="005D5484">
      <w:pPr>
        <w:pStyle w:val="Heading2Num"/>
        <w:rPr>
          <w:sz w:val="24"/>
          <w:szCs w:val="24"/>
        </w:rPr>
      </w:pPr>
      <w:r w:rsidRPr="006139D1">
        <w:rPr>
          <w:sz w:val="24"/>
          <w:szCs w:val="24"/>
        </w:rPr>
        <w:t>Why does the Fund need a Funding Strategy Statement?</w:t>
      </w:r>
    </w:p>
    <w:p w14:paraId="0A54B357" w14:textId="77777777" w:rsidR="008E0417" w:rsidRPr="006139D1" w:rsidRDefault="008E0417" w:rsidP="008E0417">
      <w:pPr>
        <w:pStyle w:val="BodyTextGrey"/>
        <w:rPr>
          <w:sz w:val="24"/>
          <w:szCs w:val="24"/>
        </w:rPr>
      </w:pPr>
      <w:r w:rsidRPr="006139D1">
        <w:rPr>
          <w:sz w:val="24"/>
          <w:szCs w:val="24"/>
        </w:rPr>
        <w:t xml:space="preserve">Employees’ benefits are guaranteed by the LGPS Regulations, and do not change with market values or employer contributions.  Investment returns will help pay for some of the benefits, but probably not all, and certainly with no guarantee. </w:t>
      </w:r>
      <w:r w:rsidR="00C5633C" w:rsidRPr="006139D1">
        <w:rPr>
          <w:sz w:val="24"/>
          <w:szCs w:val="24"/>
        </w:rPr>
        <w:t xml:space="preserve"> </w:t>
      </w:r>
      <w:r w:rsidRPr="006139D1">
        <w:rPr>
          <w:sz w:val="24"/>
          <w:szCs w:val="24"/>
        </w:rPr>
        <w:t xml:space="preserve">Employees’ contributions are fixed in those Regulations also, at a level which covers only part of the cost of the benefits.  </w:t>
      </w:r>
    </w:p>
    <w:p w14:paraId="6E70C0EF" w14:textId="77777777" w:rsidR="008E0417" w:rsidRPr="006139D1" w:rsidRDefault="008E0417" w:rsidP="008E0417">
      <w:pPr>
        <w:pStyle w:val="BodyTextGrey"/>
        <w:rPr>
          <w:sz w:val="24"/>
          <w:szCs w:val="24"/>
        </w:rPr>
      </w:pPr>
      <w:r w:rsidRPr="006139D1">
        <w:rPr>
          <w:sz w:val="24"/>
          <w:szCs w:val="24"/>
        </w:rPr>
        <w:t xml:space="preserve">Therefore, employers need to pay the balance of the cost of delivering the benefits to members and their dependants.  </w:t>
      </w:r>
    </w:p>
    <w:p w14:paraId="76A670BB" w14:textId="77777777" w:rsidR="008E0417" w:rsidRPr="006139D1" w:rsidRDefault="008E0417" w:rsidP="008E0417">
      <w:pPr>
        <w:pStyle w:val="BodyTextGrey"/>
        <w:rPr>
          <w:sz w:val="24"/>
          <w:szCs w:val="24"/>
        </w:rPr>
      </w:pPr>
      <w:r w:rsidRPr="006139D1">
        <w:rPr>
          <w:sz w:val="24"/>
          <w:szCs w:val="24"/>
        </w:rPr>
        <w:t>The FSS focuses on how employer liabilities are measured, the pace at which these liabilities are funded, and how employers or pools of employers pay for their own liabilities.  This statement sets out how the Administering Authority has balanced the conflicting aims of:</w:t>
      </w:r>
    </w:p>
    <w:p w14:paraId="6A3FA2F4" w14:textId="77777777" w:rsidR="008E0417" w:rsidRPr="006139D1" w:rsidRDefault="008E0417" w:rsidP="00C728B0">
      <w:pPr>
        <w:pStyle w:val="BulletHymans"/>
        <w:numPr>
          <w:ilvl w:val="0"/>
          <w:numId w:val="33"/>
        </w:numPr>
        <w:ind w:left="567" w:hanging="567"/>
        <w:rPr>
          <w:sz w:val="24"/>
          <w:szCs w:val="24"/>
        </w:rPr>
      </w:pPr>
      <w:r w:rsidRPr="006139D1">
        <w:rPr>
          <w:sz w:val="24"/>
          <w:szCs w:val="24"/>
        </w:rPr>
        <w:t xml:space="preserve">affordability of employer contributions, </w:t>
      </w:r>
    </w:p>
    <w:p w14:paraId="265B4F92" w14:textId="77777777" w:rsidR="008E0417" w:rsidRPr="006139D1" w:rsidRDefault="008E0417" w:rsidP="00C728B0">
      <w:pPr>
        <w:pStyle w:val="BulletHymans"/>
        <w:numPr>
          <w:ilvl w:val="0"/>
          <w:numId w:val="33"/>
        </w:numPr>
        <w:ind w:left="567" w:hanging="567"/>
        <w:rPr>
          <w:sz w:val="24"/>
          <w:szCs w:val="24"/>
        </w:rPr>
      </w:pPr>
      <w:r w:rsidRPr="006139D1">
        <w:rPr>
          <w:sz w:val="24"/>
          <w:szCs w:val="24"/>
        </w:rPr>
        <w:t xml:space="preserve">transparency of processes, </w:t>
      </w:r>
    </w:p>
    <w:p w14:paraId="18086138" w14:textId="77777777" w:rsidR="008E0417" w:rsidRPr="006139D1" w:rsidRDefault="008E0417" w:rsidP="00C728B0">
      <w:pPr>
        <w:pStyle w:val="BulletHymans"/>
        <w:numPr>
          <w:ilvl w:val="0"/>
          <w:numId w:val="33"/>
        </w:numPr>
        <w:ind w:left="567" w:hanging="567"/>
        <w:rPr>
          <w:sz w:val="24"/>
          <w:szCs w:val="24"/>
        </w:rPr>
      </w:pPr>
      <w:r w:rsidRPr="006139D1">
        <w:rPr>
          <w:sz w:val="24"/>
          <w:szCs w:val="24"/>
        </w:rPr>
        <w:t xml:space="preserve">stability of employers’ contributions, and </w:t>
      </w:r>
    </w:p>
    <w:p w14:paraId="14865845" w14:textId="77777777" w:rsidR="008E0417" w:rsidRPr="006139D1" w:rsidRDefault="008E0417" w:rsidP="00C728B0">
      <w:pPr>
        <w:pStyle w:val="BulletHymans"/>
        <w:numPr>
          <w:ilvl w:val="0"/>
          <w:numId w:val="33"/>
        </w:numPr>
        <w:ind w:left="567" w:hanging="567"/>
        <w:rPr>
          <w:sz w:val="24"/>
          <w:szCs w:val="24"/>
        </w:rPr>
      </w:pPr>
      <w:r w:rsidRPr="006139D1">
        <w:rPr>
          <w:sz w:val="24"/>
          <w:szCs w:val="24"/>
        </w:rPr>
        <w:t xml:space="preserve">prudence in the funding basis. </w:t>
      </w:r>
    </w:p>
    <w:p w14:paraId="00F50804" w14:textId="63F89338" w:rsidR="005D5484" w:rsidRPr="006139D1" w:rsidRDefault="008E0417" w:rsidP="008E0417">
      <w:pPr>
        <w:pStyle w:val="BodyTextGrey"/>
        <w:rPr>
          <w:sz w:val="24"/>
          <w:szCs w:val="24"/>
        </w:rPr>
      </w:pPr>
      <w:r w:rsidRPr="006139D1">
        <w:rPr>
          <w:sz w:val="24"/>
          <w:szCs w:val="24"/>
        </w:rPr>
        <w:lastRenderedPageBreak/>
        <w:t xml:space="preserve">There are also regulatory requirements for an FSS, as given in </w:t>
      </w:r>
      <w:hyperlink w:anchor="AppendixA" w:history="1">
        <w:r w:rsidRPr="006139D1">
          <w:rPr>
            <w:rStyle w:val="Hyperlink"/>
            <w:sz w:val="24"/>
            <w:szCs w:val="24"/>
          </w:rPr>
          <w:t>Appendix A</w:t>
        </w:r>
      </w:hyperlink>
      <w:r w:rsidRPr="006139D1">
        <w:rPr>
          <w:sz w:val="24"/>
          <w:szCs w:val="24"/>
        </w:rPr>
        <w:t>.</w:t>
      </w:r>
    </w:p>
    <w:p w14:paraId="534136BA" w14:textId="55EBF7C4" w:rsidR="002D2872" w:rsidRPr="006139D1" w:rsidRDefault="002D2872" w:rsidP="008E0417">
      <w:pPr>
        <w:pStyle w:val="BodyTextGrey"/>
        <w:rPr>
          <w:sz w:val="24"/>
          <w:szCs w:val="24"/>
        </w:rPr>
      </w:pPr>
      <w:r w:rsidRPr="006139D1">
        <w:rPr>
          <w:sz w:val="24"/>
          <w:szCs w:val="24"/>
        </w:rPr>
        <w:t xml:space="preserve">The FSS is a summary of the Fund’s approach to funding its liabilities, and this includes reference to the Fund’s other policies; it is not an exhaustive statement of policy on all issues. </w:t>
      </w:r>
      <w:r w:rsidR="00166010" w:rsidRPr="006139D1">
        <w:rPr>
          <w:sz w:val="24"/>
          <w:szCs w:val="24"/>
        </w:rPr>
        <w:t xml:space="preserve"> </w:t>
      </w:r>
      <w:r w:rsidRPr="006139D1">
        <w:rPr>
          <w:sz w:val="24"/>
          <w:szCs w:val="24"/>
        </w:rPr>
        <w:t>The FSS forms part of a framework which includes:</w:t>
      </w:r>
    </w:p>
    <w:p w14:paraId="07DD5D09" w14:textId="77777777" w:rsidR="002D2872" w:rsidRPr="006139D1" w:rsidRDefault="003964B3" w:rsidP="00C728B0">
      <w:pPr>
        <w:pStyle w:val="BodyTextGrey"/>
        <w:numPr>
          <w:ilvl w:val="0"/>
          <w:numId w:val="19"/>
        </w:numPr>
        <w:ind w:left="567" w:hanging="567"/>
        <w:rPr>
          <w:sz w:val="24"/>
          <w:szCs w:val="24"/>
        </w:rPr>
      </w:pPr>
      <w:r w:rsidRPr="006139D1">
        <w:rPr>
          <w:sz w:val="24"/>
          <w:szCs w:val="24"/>
        </w:rPr>
        <w:t>the LGPS Regulations;</w:t>
      </w:r>
    </w:p>
    <w:p w14:paraId="5246CA95" w14:textId="77777777" w:rsidR="003964B3" w:rsidRPr="006139D1" w:rsidRDefault="003964B3" w:rsidP="00C728B0">
      <w:pPr>
        <w:pStyle w:val="BodyTextGrey"/>
        <w:numPr>
          <w:ilvl w:val="0"/>
          <w:numId w:val="19"/>
        </w:numPr>
        <w:ind w:left="567" w:hanging="567"/>
        <w:rPr>
          <w:sz w:val="24"/>
          <w:szCs w:val="24"/>
        </w:rPr>
      </w:pPr>
      <w:r w:rsidRPr="006139D1">
        <w:rPr>
          <w:sz w:val="24"/>
          <w:szCs w:val="24"/>
        </w:rPr>
        <w:t>the Rates and Adjustments Certificate (confirming employer contribution rates for the next three years) which can be found in an appendix to the formal valuation report;</w:t>
      </w:r>
    </w:p>
    <w:p w14:paraId="00D68555" w14:textId="77777777" w:rsidR="003964B3" w:rsidRPr="006139D1" w:rsidRDefault="003964B3" w:rsidP="00C728B0">
      <w:pPr>
        <w:pStyle w:val="BodyTextGrey"/>
        <w:numPr>
          <w:ilvl w:val="0"/>
          <w:numId w:val="19"/>
        </w:numPr>
        <w:ind w:left="567" w:hanging="567"/>
        <w:rPr>
          <w:sz w:val="24"/>
          <w:szCs w:val="24"/>
        </w:rPr>
      </w:pPr>
      <w:r w:rsidRPr="006139D1">
        <w:rPr>
          <w:sz w:val="24"/>
          <w:szCs w:val="24"/>
        </w:rPr>
        <w:t>the Fund’s policies on admissions, cessations and bulk transfers;</w:t>
      </w:r>
    </w:p>
    <w:p w14:paraId="40C5C121" w14:textId="0912422A" w:rsidR="00933ACE" w:rsidRPr="006139D1" w:rsidRDefault="003964B3" w:rsidP="00933ACE">
      <w:pPr>
        <w:pStyle w:val="BodyTextGrey"/>
        <w:numPr>
          <w:ilvl w:val="0"/>
          <w:numId w:val="19"/>
        </w:numPr>
        <w:ind w:left="567" w:hanging="567"/>
        <w:rPr>
          <w:sz w:val="24"/>
          <w:szCs w:val="24"/>
        </w:rPr>
      </w:pPr>
      <w:r w:rsidRPr="006139D1">
        <w:rPr>
          <w:sz w:val="24"/>
          <w:szCs w:val="24"/>
        </w:rPr>
        <w:t>actuarial factors for valuing individual transfers, early retirement costs and the costs of buying added service; and</w:t>
      </w:r>
    </w:p>
    <w:p w14:paraId="7D8EF21E" w14:textId="6BEA763F" w:rsidR="003964B3" w:rsidRPr="006139D1" w:rsidRDefault="00933ACE" w:rsidP="00C728B0">
      <w:pPr>
        <w:pStyle w:val="BodyTextGrey"/>
        <w:numPr>
          <w:ilvl w:val="0"/>
          <w:numId w:val="19"/>
        </w:numPr>
        <w:ind w:left="567" w:hanging="567"/>
        <w:rPr>
          <w:sz w:val="24"/>
          <w:szCs w:val="24"/>
        </w:rPr>
      </w:pPr>
      <w:r w:rsidRPr="006139D1">
        <w:rPr>
          <w:sz w:val="24"/>
          <w:szCs w:val="24"/>
        </w:rPr>
        <w:t xml:space="preserve">the Fund’s Investment Strategy Statement (see </w:t>
      </w:r>
      <w:hyperlink w:anchor="Section4" w:history="1">
        <w:r w:rsidRPr="006139D1">
          <w:rPr>
            <w:rStyle w:val="Hyperlink"/>
            <w:sz w:val="24"/>
            <w:szCs w:val="24"/>
          </w:rPr>
          <w:t>Sectio</w:t>
        </w:r>
        <w:bookmarkStart w:id="4" w:name="_Hlt69453413"/>
        <w:bookmarkStart w:id="5" w:name="_Hlt69453414"/>
        <w:r w:rsidRPr="006139D1">
          <w:rPr>
            <w:rStyle w:val="Hyperlink"/>
            <w:sz w:val="24"/>
            <w:szCs w:val="24"/>
          </w:rPr>
          <w:t>n</w:t>
        </w:r>
        <w:bookmarkEnd w:id="4"/>
        <w:bookmarkEnd w:id="5"/>
        <w:r w:rsidRPr="006139D1">
          <w:rPr>
            <w:rStyle w:val="Hyperlink"/>
            <w:sz w:val="24"/>
            <w:szCs w:val="24"/>
          </w:rPr>
          <w:t xml:space="preserve"> 4</w:t>
        </w:r>
      </w:hyperlink>
      <w:r w:rsidR="003964B3" w:rsidRPr="006139D1">
        <w:rPr>
          <w:sz w:val="24"/>
          <w:szCs w:val="24"/>
        </w:rPr>
        <w:t>).</w:t>
      </w:r>
    </w:p>
    <w:p w14:paraId="6FEB5A1D" w14:textId="77777777" w:rsidR="008E0417" w:rsidRPr="006139D1" w:rsidRDefault="008E0417" w:rsidP="008E0417">
      <w:pPr>
        <w:pStyle w:val="Heading2Num"/>
        <w:rPr>
          <w:sz w:val="24"/>
          <w:szCs w:val="24"/>
        </w:rPr>
      </w:pPr>
      <w:r w:rsidRPr="006139D1">
        <w:rPr>
          <w:sz w:val="24"/>
          <w:szCs w:val="24"/>
        </w:rPr>
        <w:t>How does the Fund and this FSS affect me?</w:t>
      </w:r>
    </w:p>
    <w:p w14:paraId="32ECF60F" w14:textId="77777777" w:rsidR="003050E4" w:rsidRPr="006139D1" w:rsidRDefault="003050E4" w:rsidP="003050E4">
      <w:pPr>
        <w:pStyle w:val="BodyTextGrey"/>
        <w:rPr>
          <w:sz w:val="24"/>
          <w:szCs w:val="24"/>
        </w:rPr>
      </w:pPr>
      <w:r w:rsidRPr="006139D1">
        <w:rPr>
          <w:sz w:val="24"/>
          <w:szCs w:val="24"/>
        </w:rPr>
        <w:t>This depends who you are:</w:t>
      </w:r>
    </w:p>
    <w:p w14:paraId="47A86A1A" w14:textId="77777777" w:rsidR="003050E4" w:rsidRPr="006139D1" w:rsidRDefault="003050E4" w:rsidP="00C728B0">
      <w:pPr>
        <w:pStyle w:val="BulletHymans"/>
        <w:numPr>
          <w:ilvl w:val="0"/>
          <w:numId w:val="34"/>
        </w:numPr>
        <w:ind w:left="567" w:hanging="567"/>
        <w:rPr>
          <w:sz w:val="24"/>
          <w:szCs w:val="24"/>
        </w:rPr>
      </w:pPr>
      <w:r w:rsidRPr="006139D1">
        <w:rPr>
          <w:sz w:val="24"/>
          <w:szCs w:val="24"/>
        </w:rPr>
        <w:t>a member of the Fund, i.e. a current or former employee, or a dependant: the Fund needs to be sure it is collecting and holding enough money so that your benefits are always paid in full;</w:t>
      </w:r>
    </w:p>
    <w:p w14:paraId="22FB3A51" w14:textId="0FBF04B6" w:rsidR="003050E4" w:rsidRPr="006139D1" w:rsidRDefault="003050E4" w:rsidP="00C728B0">
      <w:pPr>
        <w:pStyle w:val="BulletHymans"/>
        <w:numPr>
          <w:ilvl w:val="0"/>
          <w:numId w:val="34"/>
        </w:numPr>
        <w:ind w:left="567" w:hanging="567"/>
        <w:rPr>
          <w:sz w:val="24"/>
          <w:szCs w:val="24"/>
        </w:rPr>
      </w:pPr>
      <w:r w:rsidRPr="006139D1">
        <w:rPr>
          <w:sz w:val="24"/>
          <w:szCs w:val="24"/>
        </w:rPr>
        <w:t>an employer in the Fund (or which is considering joining the Fund): you will want to know how your contributions are calculated from time to time, that these are fair by comparison to other employers in the Fund, in what circumstances you might need to pay more</w:t>
      </w:r>
      <w:r w:rsidR="009B19D1" w:rsidRPr="006139D1">
        <w:rPr>
          <w:sz w:val="24"/>
          <w:szCs w:val="24"/>
        </w:rPr>
        <w:t xml:space="preserve"> and what happens if you cease to be an employer in the Fund</w:t>
      </w:r>
      <w:r w:rsidR="003964B3" w:rsidRPr="006139D1">
        <w:rPr>
          <w:sz w:val="24"/>
          <w:szCs w:val="24"/>
        </w:rPr>
        <w:t>.</w:t>
      </w:r>
      <w:r w:rsidR="00531F39" w:rsidRPr="006139D1">
        <w:rPr>
          <w:sz w:val="24"/>
          <w:szCs w:val="24"/>
        </w:rPr>
        <w:t xml:space="preserve"> </w:t>
      </w:r>
      <w:r w:rsidR="003964B3" w:rsidRPr="006139D1">
        <w:rPr>
          <w:sz w:val="24"/>
          <w:szCs w:val="24"/>
        </w:rPr>
        <w:t xml:space="preserve"> Note that the FSS applies to all employers participating in the Fund</w:t>
      </w:r>
      <w:r w:rsidRPr="006139D1">
        <w:rPr>
          <w:sz w:val="24"/>
          <w:szCs w:val="24"/>
        </w:rPr>
        <w:t>;</w:t>
      </w:r>
    </w:p>
    <w:p w14:paraId="1AF90B39" w14:textId="77777777" w:rsidR="003050E4" w:rsidRPr="006139D1" w:rsidRDefault="003050E4" w:rsidP="00C728B0">
      <w:pPr>
        <w:pStyle w:val="BulletHymans"/>
        <w:numPr>
          <w:ilvl w:val="0"/>
          <w:numId w:val="34"/>
        </w:numPr>
        <w:ind w:left="567" w:hanging="567"/>
        <w:rPr>
          <w:sz w:val="24"/>
          <w:szCs w:val="24"/>
        </w:rPr>
      </w:pPr>
      <w:r w:rsidRPr="006139D1">
        <w:rPr>
          <w:sz w:val="24"/>
          <w:szCs w:val="24"/>
        </w:rPr>
        <w:t>an Elected Member whose council participates in the Fund: you will want to be sure that the council balances the need to hold prudent reserves for members’ retirement and death benefits, with the other competing demands for council money;</w:t>
      </w:r>
    </w:p>
    <w:p w14:paraId="5F303C5B" w14:textId="77777777" w:rsidR="008E0417" w:rsidRPr="006139D1" w:rsidRDefault="003050E4" w:rsidP="00C728B0">
      <w:pPr>
        <w:pStyle w:val="BulletHymans"/>
        <w:numPr>
          <w:ilvl w:val="0"/>
          <w:numId w:val="34"/>
        </w:numPr>
        <w:ind w:left="567" w:hanging="567"/>
        <w:rPr>
          <w:sz w:val="24"/>
          <w:szCs w:val="24"/>
        </w:rPr>
      </w:pPr>
      <w:r w:rsidRPr="006139D1">
        <w:rPr>
          <w:sz w:val="24"/>
          <w:szCs w:val="24"/>
        </w:rPr>
        <w:t>a Council Tax payer: your council seeks to strike the balance above, and also to minimise cross-subsidies between different generations of taxpayers.</w:t>
      </w:r>
    </w:p>
    <w:p w14:paraId="5888672B" w14:textId="77777777" w:rsidR="003050E4" w:rsidRPr="006139D1" w:rsidRDefault="003050E4" w:rsidP="003050E4">
      <w:pPr>
        <w:pStyle w:val="Heading2Num"/>
        <w:rPr>
          <w:sz w:val="24"/>
          <w:szCs w:val="24"/>
        </w:rPr>
      </w:pPr>
      <w:r w:rsidRPr="006139D1">
        <w:rPr>
          <w:sz w:val="24"/>
          <w:szCs w:val="24"/>
        </w:rPr>
        <w:t>What does the FSS aim to do?</w:t>
      </w:r>
    </w:p>
    <w:p w14:paraId="03EABCFC" w14:textId="77777777" w:rsidR="003050E4" w:rsidRPr="006139D1" w:rsidRDefault="003050E4" w:rsidP="003050E4">
      <w:pPr>
        <w:pStyle w:val="BodyTextGrey"/>
        <w:rPr>
          <w:sz w:val="24"/>
          <w:szCs w:val="24"/>
        </w:rPr>
      </w:pPr>
      <w:r w:rsidRPr="006139D1">
        <w:rPr>
          <w:sz w:val="24"/>
          <w:szCs w:val="24"/>
        </w:rPr>
        <w:t xml:space="preserve">The </w:t>
      </w:r>
      <w:r w:rsidR="003964B3" w:rsidRPr="006139D1">
        <w:rPr>
          <w:sz w:val="24"/>
          <w:szCs w:val="24"/>
        </w:rPr>
        <w:t xml:space="preserve">FSS sets out the </w:t>
      </w:r>
      <w:r w:rsidRPr="006139D1">
        <w:rPr>
          <w:sz w:val="24"/>
          <w:szCs w:val="24"/>
        </w:rPr>
        <w:t>objectives of the Fund’s funding strategy</w:t>
      </w:r>
      <w:r w:rsidR="003964B3" w:rsidRPr="006139D1">
        <w:rPr>
          <w:sz w:val="24"/>
          <w:szCs w:val="24"/>
        </w:rPr>
        <w:t>,</w:t>
      </w:r>
      <w:r w:rsidRPr="006139D1">
        <w:rPr>
          <w:sz w:val="24"/>
          <w:szCs w:val="24"/>
        </w:rPr>
        <w:t xml:space="preserve"> </w:t>
      </w:r>
      <w:r w:rsidR="00B57705" w:rsidRPr="006139D1">
        <w:rPr>
          <w:sz w:val="24"/>
          <w:szCs w:val="24"/>
        </w:rPr>
        <w:t>such as</w:t>
      </w:r>
      <w:r w:rsidRPr="006139D1">
        <w:rPr>
          <w:sz w:val="24"/>
          <w:szCs w:val="24"/>
        </w:rPr>
        <w:t xml:space="preserve">: </w:t>
      </w:r>
    </w:p>
    <w:p w14:paraId="5F60B349" w14:textId="77777777" w:rsidR="003050E4" w:rsidRPr="006139D1" w:rsidRDefault="003050E4" w:rsidP="00C728B0">
      <w:pPr>
        <w:pStyle w:val="BulletHymans"/>
        <w:numPr>
          <w:ilvl w:val="0"/>
          <w:numId w:val="35"/>
        </w:numPr>
        <w:ind w:left="567" w:hanging="567"/>
        <w:rPr>
          <w:sz w:val="24"/>
          <w:szCs w:val="24"/>
        </w:rPr>
      </w:pPr>
      <w:r w:rsidRPr="006139D1">
        <w:rPr>
          <w:sz w:val="24"/>
          <w:szCs w:val="24"/>
        </w:rPr>
        <w:t xml:space="preserve">to ensure the long-term solvency of the Fund, using a prudent long term view. </w:t>
      </w:r>
      <w:r w:rsidR="00805EF8" w:rsidRPr="006139D1">
        <w:rPr>
          <w:sz w:val="24"/>
          <w:szCs w:val="24"/>
        </w:rPr>
        <w:t xml:space="preserve"> </w:t>
      </w:r>
      <w:r w:rsidRPr="006139D1">
        <w:rPr>
          <w:sz w:val="24"/>
          <w:szCs w:val="24"/>
        </w:rPr>
        <w:t>This will ensure that sufficient funds are available to meet all members’/dependants’ benefits as they fall due for payment;</w:t>
      </w:r>
    </w:p>
    <w:p w14:paraId="1BCAEA03" w14:textId="77777777" w:rsidR="003050E4" w:rsidRPr="006139D1" w:rsidRDefault="003050E4" w:rsidP="00C728B0">
      <w:pPr>
        <w:pStyle w:val="BulletHymans"/>
        <w:numPr>
          <w:ilvl w:val="0"/>
          <w:numId w:val="35"/>
        </w:numPr>
        <w:ind w:left="567" w:hanging="567"/>
        <w:rPr>
          <w:sz w:val="24"/>
          <w:szCs w:val="24"/>
        </w:rPr>
      </w:pPr>
      <w:r w:rsidRPr="006139D1">
        <w:rPr>
          <w:sz w:val="24"/>
          <w:szCs w:val="24"/>
        </w:rPr>
        <w:t>to ensure that employer contribution rates are reasonably stable</w:t>
      </w:r>
      <w:r w:rsidR="00B57705" w:rsidRPr="006139D1">
        <w:rPr>
          <w:sz w:val="24"/>
          <w:szCs w:val="24"/>
        </w:rPr>
        <w:t xml:space="preserve"> where appropriate</w:t>
      </w:r>
      <w:r w:rsidRPr="006139D1">
        <w:rPr>
          <w:sz w:val="24"/>
          <w:szCs w:val="24"/>
        </w:rPr>
        <w:t>;</w:t>
      </w:r>
    </w:p>
    <w:p w14:paraId="52803D8B" w14:textId="77777777" w:rsidR="003050E4" w:rsidRPr="006139D1" w:rsidRDefault="003050E4" w:rsidP="00C728B0">
      <w:pPr>
        <w:pStyle w:val="BulletHymans"/>
        <w:numPr>
          <w:ilvl w:val="0"/>
          <w:numId w:val="35"/>
        </w:numPr>
        <w:ind w:left="567" w:hanging="567"/>
        <w:rPr>
          <w:sz w:val="24"/>
          <w:szCs w:val="24"/>
        </w:rPr>
      </w:pPr>
      <w:r w:rsidRPr="006139D1">
        <w:rPr>
          <w:sz w:val="24"/>
          <w:szCs w:val="24"/>
        </w:rPr>
        <w:t>to minimise the long-term cash contributions which employers need to pay to the Fund, by recognising the link between assets and liabilities and adopting an investment strategy which balances risk and return (</w:t>
      </w:r>
      <w:r w:rsidRPr="006139D1">
        <w:rPr>
          <w:b/>
          <w:sz w:val="24"/>
          <w:szCs w:val="24"/>
        </w:rPr>
        <w:t>NB</w:t>
      </w:r>
      <w:r w:rsidRPr="006139D1">
        <w:rPr>
          <w:sz w:val="24"/>
          <w:szCs w:val="24"/>
        </w:rPr>
        <w:t xml:space="preserve"> this will also minimise the costs to be borne by Council Tax payers);</w:t>
      </w:r>
    </w:p>
    <w:p w14:paraId="1CC5F024" w14:textId="77777777" w:rsidR="003050E4" w:rsidRPr="006139D1" w:rsidRDefault="003050E4" w:rsidP="00C728B0">
      <w:pPr>
        <w:pStyle w:val="BulletHymans"/>
        <w:numPr>
          <w:ilvl w:val="0"/>
          <w:numId w:val="35"/>
        </w:numPr>
        <w:ind w:left="567" w:hanging="567"/>
        <w:rPr>
          <w:sz w:val="24"/>
          <w:szCs w:val="24"/>
        </w:rPr>
      </w:pPr>
      <w:r w:rsidRPr="006139D1">
        <w:rPr>
          <w:sz w:val="24"/>
          <w:szCs w:val="24"/>
        </w:rPr>
        <w:t xml:space="preserve">to reflect the different characteristics of different employers in determining contribution rates. </w:t>
      </w:r>
      <w:r w:rsidR="00805EF8" w:rsidRPr="006139D1">
        <w:rPr>
          <w:sz w:val="24"/>
          <w:szCs w:val="24"/>
        </w:rPr>
        <w:t xml:space="preserve"> </w:t>
      </w:r>
      <w:r w:rsidRPr="006139D1">
        <w:rPr>
          <w:sz w:val="24"/>
          <w:szCs w:val="24"/>
        </w:rPr>
        <w:t>This involves the Fund having a clear and transparent funding strategy to demonstrate how each employer can best meet its own liabilities over future years;</w:t>
      </w:r>
      <w:r w:rsidR="00B57705" w:rsidRPr="006139D1">
        <w:rPr>
          <w:sz w:val="24"/>
          <w:szCs w:val="24"/>
        </w:rPr>
        <w:t xml:space="preserve"> and</w:t>
      </w:r>
    </w:p>
    <w:p w14:paraId="044B5D13" w14:textId="3E55503C" w:rsidR="00FC6D62" w:rsidRPr="006139D1" w:rsidRDefault="003050E4" w:rsidP="0052118E">
      <w:pPr>
        <w:pStyle w:val="BulletHymans"/>
        <w:numPr>
          <w:ilvl w:val="0"/>
          <w:numId w:val="35"/>
        </w:numPr>
        <w:ind w:left="567" w:hanging="567"/>
        <w:rPr>
          <w:b/>
          <w:color w:val="F06A00" w:themeColor="accent1"/>
          <w:sz w:val="24"/>
          <w:szCs w:val="24"/>
        </w:rPr>
      </w:pPr>
      <w:r w:rsidRPr="006139D1">
        <w:rPr>
          <w:sz w:val="24"/>
          <w:szCs w:val="24"/>
        </w:rPr>
        <w:lastRenderedPageBreak/>
        <w:t>to use reasonable measures to reduce the risk to other employers and ultimately to the Council Tax payer from an employer defaulting on its pension obligations.</w:t>
      </w:r>
    </w:p>
    <w:p w14:paraId="695A0734" w14:textId="632E5A4E" w:rsidR="00AB14B7" w:rsidRPr="006139D1" w:rsidRDefault="00AB14B7" w:rsidP="00AB14B7">
      <w:pPr>
        <w:pStyle w:val="Heading2Num"/>
        <w:rPr>
          <w:sz w:val="24"/>
          <w:szCs w:val="24"/>
        </w:rPr>
      </w:pPr>
      <w:r w:rsidRPr="006139D1">
        <w:rPr>
          <w:sz w:val="24"/>
          <w:szCs w:val="24"/>
        </w:rPr>
        <w:t>How do I find my way around this document?</w:t>
      </w:r>
    </w:p>
    <w:p w14:paraId="3DD35365" w14:textId="4E9B8366" w:rsidR="00AB14B7" w:rsidRPr="006139D1" w:rsidRDefault="00AB14B7" w:rsidP="00AB14B7">
      <w:pPr>
        <w:pStyle w:val="BodyTextGrey"/>
        <w:rPr>
          <w:sz w:val="24"/>
          <w:szCs w:val="24"/>
        </w:rPr>
      </w:pPr>
      <w:r w:rsidRPr="006139D1">
        <w:rPr>
          <w:sz w:val="24"/>
          <w:szCs w:val="24"/>
        </w:rPr>
        <w:t xml:space="preserve">In </w:t>
      </w:r>
      <w:hyperlink w:anchor="Section2" w:history="1">
        <w:r w:rsidRPr="006139D1">
          <w:rPr>
            <w:rStyle w:val="Hyperlink"/>
            <w:sz w:val="24"/>
            <w:szCs w:val="24"/>
          </w:rPr>
          <w:t>Section 2</w:t>
        </w:r>
      </w:hyperlink>
      <w:r w:rsidRPr="006139D1">
        <w:rPr>
          <w:sz w:val="24"/>
          <w:szCs w:val="24"/>
        </w:rPr>
        <w:t xml:space="preserve"> there is a brief introduction to some of the main principles behind funding, </w:t>
      </w:r>
      <w:r w:rsidR="003A11C3" w:rsidRPr="006139D1">
        <w:rPr>
          <w:sz w:val="24"/>
          <w:szCs w:val="24"/>
        </w:rPr>
        <w:t>i.e.</w:t>
      </w:r>
      <w:r w:rsidRPr="006139D1">
        <w:rPr>
          <w:sz w:val="24"/>
          <w:szCs w:val="24"/>
        </w:rPr>
        <w:t xml:space="preserve"> deciding how much an employer should contribute to the Fund from time to time.</w:t>
      </w:r>
    </w:p>
    <w:p w14:paraId="6F332D0B" w14:textId="768C88CE" w:rsidR="00AB14B7" w:rsidRPr="006139D1" w:rsidRDefault="00AB14B7" w:rsidP="00AB14B7">
      <w:pPr>
        <w:pStyle w:val="BodyTextGrey"/>
        <w:rPr>
          <w:sz w:val="24"/>
          <w:szCs w:val="24"/>
        </w:rPr>
      </w:pPr>
      <w:r w:rsidRPr="006139D1">
        <w:rPr>
          <w:sz w:val="24"/>
          <w:szCs w:val="24"/>
        </w:rPr>
        <w:t xml:space="preserve">In </w:t>
      </w:r>
      <w:hyperlink w:anchor="Section3" w:history="1">
        <w:r w:rsidRPr="006139D1">
          <w:rPr>
            <w:rStyle w:val="Hyperlink"/>
            <w:sz w:val="24"/>
            <w:szCs w:val="24"/>
          </w:rPr>
          <w:t>Section 3</w:t>
        </w:r>
      </w:hyperlink>
      <w:r w:rsidRPr="006139D1">
        <w:rPr>
          <w:sz w:val="24"/>
          <w:szCs w:val="24"/>
        </w:rPr>
        <w:t xml:space="preserve"> we outline how the Fund calculates the contributions payable by different employers in different situations.</w:t>
      </w:r>
    </w:p>
    <w:p w14:paraId="1953F9A8" w14:textId="1A53FA2C" w:rsidR="00AB14B7" w:rsidRPr="006139D1" w:rsidRDefault="00AB14B7" w:rsidP="00AB14B7">
      <w:pPr>
        <w:pStyle w:val="BodyTextGrey"/>
        <w:rPr>
          <w:sz w:val="24"/>
          <w:szCs w:val="24"/>
        </w:rPr>
      </w:pPr>
      <w:r w:rsidRPr="006139D1">
        <w:rPr>
          <w:sz w:val="24"/>
          <w:szCs w:val="24"/>
        </w:rPr>
        <w:t xml:space="preserve">In </w:t>
      </w:r>
      <w:hyperlink w:anchor="Section4" w:history="1">
        <w:r w:rsidRPr="006139D1">
          <w:rPr>
            <w:rStyle w:val="Hyperlink"/>
            <w:sz w:val="24"/>
            <w:szCs w:val="24"/>
          </w:rPr>
          <w:t>Section 4</w:t>
        </w:r>
      </w:hyperlink>
      <w:r w:rsidRPr="006139D1">
        <w:rPr>
          <w:sz w:val="24"/>
          <w:szCs w:val="24"/>
        </w:rPr>
        <w:t xml:space="preserve"> we show how the funding strategy is linked with the Fund’s investment strategy.</w:t>
      </w:r>
    </w:p>
    <w:p w14:paraId="459D62D8" w14:textId="1C440343" w:rsidR="00AB14B7" w:rsidRPr="006139D1" w:rsidRDefault="00AB14B7" w:rsidP="00AB14B7">
      <w:pPr>
        <w:pStyle w:val="BodyTextGrey"/>
        <w:rPr>
          <w:sz w:val="24"/>
          <w:szCs w:val="24"/>
        </w:rPr>
      </w:pPr>
      <w:r w:rsidRPr="006139D1">
        <w:rPr>
          <w:sz w:val="24"/>
          <w:szCs w:val="24"/>
        </w:rPr>
        <w:t xml:space="preserve">In the </w:t>
      </w:r>
      <w:hyperlink w:anchor="AppendixA" w:history="1">
        <w:r w:rsidRPr="006139D1">
          <w:rPr>
            <w:rStyle w:val="Hyperlink"/>
            <w:sz w:val="24"/>
            <w:szCs w:val="24"/>
          </w:rPr>
          <w:t>Appendices</w:t>
        </w:r>
      </w:hyperlink>
      <w:r w:rsidRPr="006139D1">
        <w:rPr>
          <w:sz w:val="24"/>
          <w:szCs w:val="24"/>
        </w:rPr>
        <w:t xml:space="preserve"> we cover various issues in more detail if you are interested:</w:t>
      </w:r>
    </w:p>
    <w:p w14:paraId="41E5D6E1" w14:textId="77777777" w:rsidR="00AB14B7" w:rsidRPr="006139D1" w:rsidRDefault="00AB14B7" w:rsidP="00E14A1E">
      <w:pPr>
        <w:pStyle w:val="NumberHymans"/>
        <w:numPr>
          <w:ilvl w:val="0"/>
          <w:numId w:val="16"/>
        </w:numPr>
        <w:rPr>
          <w:sz w:val="24"/>
          <w:szCs w:val="24"/>
        </w:rPr>
      </w:pPr>
      <w:r w:rsidRPr="006139D1">
        <w:rPr>
          <w:sz w:val="24"/>
          <w:szCs w:val="24"/>
        </w:rPr>
        <w:t>the regulatory background,</w:t>
      </w:r>
      <w:r w:rsidR="00B57705" w:rsidRPr="006139D1">
        <w:rPr>
          <w:sz w:val="24"/>
          <w:szCs w:val="24"/>
        </w:rPr>
        <w:t xml:space="preserve"> including how and when the FSS is reviewed,</w:t>
      </w:r>
    </w:p>
    <w:p w14:paraId="29714A7C" w14:textId="77777777" w:rsidR="00AB14B7" w:rsidRPr="006139D1" w:rsidRDefault="00AB14B7" w:rsidP="004452F9">
      <w:pPr>
        <w:pStyle w:val="NumberHymans"/>
        <w:numPr>
          <w:ilvl w:val="0"/>
          <w:numId w:val="16"/>
        </w:numPr>
        <w:rPr>
          <w:sz w:val="24"/>
          <w:szCs w:val="24"/>
        </w:rPr>
      </w:pPr>
      <w:r w:rsidRPr="006139D1">
        <w:rPr>
          <w:sz w:val="24"/>
          <w:szCs w:val="24"/>
        </w:rPr>
        <w:t>who is responsible for what,</w:t>
      </w:r>
    </w:p>
    <w:p w14:paraId="7A433B3A" w14:textId="77777777" w:rsidR="00AB14B7" w:rsidRPr="006139D1" w:rsidRDefault="00AB14B7" w:rsidP="004452F9">
      <w:pPr>
        <w:pStyle w:val="NumberHymans"/>
        <w:numPr>
          <w:ilvl w:val="0"/>
          <w:numId w:val="16"/>
        </w:numPr>
        <w:rPr>
          <w:sz w:val="24"/>
          <w:szCs w:val="24"/>
        </w:rPr>
      </w:pPr>
      <w:r w:rsidRPr="006139D1">
        <w:rPr>
          <w:sz w:val="24"/>
          <w:szCs w:val="24"/>
        </w:rPr>
        <w:t>what issues the Fund needs to monitor, and how it manages its risks,</w:t>
      </w:r>
    </w:p>
    <w:p w14:paraId="00442B84" w14:textId="77777777" w:rsidR="00AB14B7" w:rsidRPr="006139D1" w:rsidRDefault="00AB14B7" w:rsidP="004452F9">
      <w:pPr>
        <w:pStyle w:val="NumberHymans"/>
        <w:numPr>
          <w:ilvl w:val="0"/>
          <w:numId w:val="16"/>
        </w:numPr>
        <w:rPr>
          <w:sz w:val="24"/>
          <w:szCs w:val="24"/>
        </w:rPr>
      </w:pPr>
      <w:r w:rsidRPr="006139D1">
        <w:rPr>
          <w:sz w:val="24"/>
          <w:szCs w:val="24"/>
        </w:rPr>
        <w:t>some more details about the actuarial calculations required,</w:t>
      </w:r>
    </w:p>
    <w:p w14:paraId="52461BC7" w14:textId="77777777" w:rsidR="00AB14B7" w:rsidRPr="006139D1" w:rsidRDefault="00AB14B7" w:rsidP="004452F9">
      <w:pPr>
        <w:pStyle w:val="NumberHymans"/>
        <w:numPr>
          <w:ilvl w:val="0"/>
          <w:numId w:val="16"/>
        </w:numPr>
        <w:rPr>
          <w:sz w:val="24"/>
          <w:szCs w:val="24"/>
        </w:rPr>
      </w:pPr>
      <w:r w:rsidRPr="006139D1">
        <w:rPr>
          <w:sz w:val="24"/>
          <w:szCs w:val="24"/>
        </w:rPr>
        <w:t>the assumptions which the Fund actuary currently makes about the future,</w:t>
      </w:r>
    </w:p>
    <w:p w14:paraId="66A47D4E" w14:textId="67D66105" w:rsidR="00AB14B7" w:rsidRPr="006139D1" w:rsidRDefault="00AB14B7" w:rsidP="004452F9">
      <w:pPr>
        <w:pStyle w:val="NumberHymans"/>
        <w:numPr>
          <w:ilvl w:val="0"/>
          <w:numId w:val="16"/>
        </w:numPr>
        <w:rPr>
          <w:sz w:val="24"/>
          <w:szCs w:val="24"/>
        </w:rPr>
      </w:pPr>
      <w:r w:rsidRPr="006139D1">
        <w:rPr>
          <w:sz w:val="24"/>
          <w:szCs w:val="24"/>
        </w:rPr>
        <w:t xml:space="preserve">a </w:t>
      </w:r>
      <w:hyperlink w:anchor="AppendixF" w:history="1">
        <w:r w:rsidRPr="006139D1">
          <w:rPr>
            <w:rStyle w:val="Hyperlink"/>
            <w:sz w:val="24"/>
            <w:szCs w:val="24"/>
          </w:rPr>
          <w:t>glossary</w:t>
        </w:r>
      </w:hyperlink>
      <w:r w:rsidRPr="006139D1">
        <w:rPr>
          <w:sz w:val="24"/>
          <w:szCs w:val="24"/>
        </w:rPr>
        <w:t xml:space="preserve"> explaining the technical terms occasionally used here.</w:t>
      </w:r>
    </w:p>
    <w:p w14:paraId="4F6803A9" w14:textId="4ABFC445" w:rsidR="00AB14B7" w:rsidRPr="006139D1" w:rsidRDefault="00AB14B7" w:rsidP="00AB14B7">
      <w:pPr>
        <w:pStyle w:val="BodyTextGrey"/>
        <w:rPr>
          <w:sz w:val="24"/>
          <w:szCs w:val="24"/>
        </w:rPr>
      </w:pPr>
      <w:r w:rsidRPr="006139D1">
        <w:rPr>
          <w:sz w:val="24"/>
          <w:szCs w:val="24"/>
        </w:rPr>
        <w:t xml:space="preserve">If you have any other queries please contact </w:t>
      </w:r>
      <w:r w:rsidR="001E1370" w:rsidRPr="006139D1">
        <w:rPr>
          <w:sz w:val="24"/>
          <w:szCs w:val="24"/>
        </w:rPr>
        <w:t xml:space="preserve">Nigel Mascarenhas, Head of Treasury &amp; Financial </w:t>
      </w:r>
      <w:r w:rsidR="000668AD" w:rsidRPr="006139D1">
        <w:rPr>
          <w:sz w:val="24"/>
          <w:szCs w:val="24"/>
        </w:rPr>
        <w:t xml:space="preserve">Services </w:t>
      </w:r>
      <w:r w:rsidRPr="006139D1">
        <w:rPr>
          <w:sz w:val="24"/>
          <w:szCs w:val="24"/>
        </w:rPr>
        <w:t xml:space="preserve">in the first instance at e-mail address </w:t>
      </w:r>
      <w:hyperlink r:id="rId18" w:history="1">
        <w:r w:rsidR="003354FF" w:rsidRPr="006139D1">
          <w:rPr>
            <w:rStyle w:val="Hyperlink"/>
            <w:sz w:val="24"/>
            <w:szCs w:val="24"/>
          </w:rPr>
          <w:t>Nigel.Mascarenhas@camden.gov.uk</w:t>
        </w:r>
      </w:hyperlink>
      <w:r w:rsidR="003354FF" w:rsidRPr="006139D1">
        <w:rPr>
          <w:sz w:val="24"/>
          <w:szCs w:val="24"/>
        </w:rPr>
        <w:t xml:space="preserve"> </w:t>
      </w:r>
      <w:r w:rsidRPr="006139D1">
        <w:rPr>
          <w:sz w:val="24"/>
          <w:szCs w:val="24"/>
        </w:rPr>
        <w:t xml:space="preserve">or on telephone number </w:t>
      </w:r>
      <w:r w:rsidR="00F36F2E" w:rsidRPr="006139D1">
        <w:rPr>
          <w:sz w:val="24"/>
          <w:szCs w:val="24"/>
        </w:rPr>
        <w:t>0207 974 1904</w:t>
      </w:r>
      <w:r w:rsidRPr="006139D1">
        <w:rPr>
          <w:sz w:val="24"/>
          <w:szCs w:val="24"/>
        </w:rPr>
        <w:t>.</w:t>
      </w:r>
    </w:p>
    <w:p w14:paraId="64613A91" w14:textId="77777777" w:rsidR="003A2056" w:rsidRDefault="003A2056">
      <w:pPr>
        <w:spacing w:after="20" w:line="240" w:lineRule="auto"/>
        <w:jc w:val="left"/>
        <w:rPr>
          <w:color w:val="4B4B4B"/>
          <w:lang w:eastAsia="en-US"/>
        </w:rPr>
      </w:pPr>
      <w:r>
        <w:br w:type="page"/>
      </w:r>
    </w:p>
    <w:p w14:paraId="0110B428" w14:textId="77777777" w:rsidR="00AB14B7" w:rsidRDefault="00DC6F70" w:rsidP="003A2056">
      <w:pPr>
        <w:pStyle w:val="Heading1Num"/>
      </w:pPr>
      <w:bookmarkStart w:id="6" w:name="_Toc22839041"/>
      <w:bookmarkStart w:id="7" w:name="Section2"/>
      <w:r>
        <w:lastRenderedPageBreak/>
        <w:t>Basic Funding issues</w:t>
      </w:r>
      <w:bookmarkEnd w:id="6"/>
    </w:p>
    <w:bookmarkEnd w:id="7"/>
    <w:p w14:paraId="78DC1016" w14:textId="77777777" w:rsidR="00DC6F70" w:rsidRPr="006139D1" w:rsidRDefault="00DC6F70" w:rsidP="00DC6F70">
      <w:pPr>
        <w:pStyle w:val="BodyTextGrey"/>
        <w:rPr>
          <w:sz w:val="24"/>
          <w:szCs w:val="24"/>
        </w:rPr>
      </w:pPr>
      <w:r w:rsidRPr="006139D1">
        <w:rPr>
          <w:sz w:val="24"/>
          <w:szCs w:val="24"/>
        </w:rPr>
        <w:t xml:space="preserve">(More detailed and extensive descriptions are given in </w:t>
      </w:r>
      <w:hyperlink w:anchor="AppendixD" w:history="1">
        <w:r w:rsidRPr="006139D1">
          <w:rPr>
            <w:rStyle w:val="Hyperlink"/>
            <w:sz w:val="24"/>
            <w:szCs w:val="24"/>
          </w:rPr>
          <w:t>Appendix D</w:t>
        </w:r>
      </w:hyperlink>
      <w:r w:rsidRPr="006139D1">
        <w:rPr>
          <w:sz w:val="24"/>
          <w:szCs w:val="24"/>
        </w:rPr>
        <w:t>).</w:t>
      </w:r>
    </w:p>
    <w:p w14:paraId="2D62069E" w14:textId="39D96129" w:rsidR="00DC6F70" w:rsidRPr="006139D1" w:rsidRDefault="00DC6F70" w:rsidP="00DC6F70">
      <w:pPr>
        <w:pStyle w:val="Heading2Num"/>
        <w:rPr>
          <w:sz w:val="24"/>
          <w:szCs w:val="24"/>
        </w:rPr>
      </w:pPr>
      <w:r w:rsidRPr="006139D1">
        <w:rPr>
          <w:sz w:val="24"/>
          <w:szCs w:val="24"/>
        </w:rPr>
        <w:t xml:space="preserve">How does the actuary </w:t>
      </w:r>
      <w:r w:rsidR="007E3BA2" w:rsidRPr="006139D1">
        <w:rPr>
          <w:sz w:val="24"/>
          <w:szCs w:val="24"/>
        </w:rPr>
        <w:t xml:space="preserve"> calculate</w:t>
      </w:r>
      <w:r w:rsidR="00EC387B" w:rsidRPr="006139D1">
        <w:rPr>
          <w:sz w:val="24"/>
          <w:szCs w:val="24"/>
        </w:rPr>
        <w:t xml:space="preserve"> the required</w:t>
      </w:r>
      <w:r w:rsidRPr="006139D1">
        <w:rPr>
          <w:sz w:val="24"/>
          <w:szCs w:val="24"/>
        </w:rPr>
        <w:t xml:space="preserve"> contribution rate?</w:t>
      </w:r>
    </w:p>
    <w:p w14:paraId="24A4ACB3" w14:textId="77777777" w:rsidR="00DA6FF8" w:rsidRPr="006139D1" w:rsidRDefault="00DA6FF8" w:rsidP="00DC6F70">
      <w:pPr>
        <w:pStyle w:val="BodyTextGrey"/>
        <w:rPr>
          <w:sz w:val="24"/>
          <w:szCs w:val="24"/>
        </w:rPr>
      </w:pPr>
      <w:r w:rsidRPr="006139D1">
        <w:rPr>
          <w:sz w:val="24"/>
          <w:szCs w:val="24"/>
        </w:rPr>
        <w:t>In essence this is a three-step process:</w:t>
      </w:r>
    </w:p>
    <w:p w14:paraId="5C820593" w14:textId="1AFDFE4B" w:rsidR="00DA6FF8" w:rsidRPr="006139D1" w:rsidRDefault="00DA6FF8" w:rsidP="009E424A">
      <w:pPr>
        <w:pStyle w:val="BodyTextGrey"/>
        <w:numPr>
          <w:ilvl w:val="0"/>
          <w:numId w:val="10"/>
        </w:numPr>
        <w:rPr>
          <w:sz w:val="24"/>
          <w:szCs w:val="24"/>
        </w:rPr>
      </w:pPr>
      <w:r w:rsidRPr="006139D1">
        <w:rPr>
          <w:sz w:val="24"/>
          <w:szCs w:val="24"/>
        </w:rPr>
        <w:t xml:space="preserve">Calculate the funding target for that employer, </w:t>
      </w:r>
      <w:proofErr w:type="gramStart"/>
      <w:r w:rsidRPr="006139D1">
        <w:rPr>
          <w:sz w:val="24"/>
          <w:szCs w:val="24"/>
        </w:rPr>
        <w:t>i.e.</w:t>
      </w:r>
      <w:proofErr w:type="gramEnd"/>
      <w:r w:rsidRPr="006139D1">
        <w:rPr>
          <w:sz w:val="24"/>
          <w:szCs w:val="24"/>
        </w:rPr>
        <w:t xml:space="preserve"> the </w:t>
      </w:r>
      <w:r w:rsidR="007E3BA2" w:rsidRPr="006139D1">
        <w:rPr>
          <w:sz w:val="24"/>
          <w:szCs w:val="24"/>
        </w:rPr>
        <w:t>estimated</w:t>
      </w:r>
      <w:r w:rsidRPr="006139D1">
        <w:rPr>
          <w:sz w:val="24"/>
          <w:szCs w:val="24"/>
        </w:rPr>
        <w:t xml:space="preserve"> amount of assets it should hold in order to be able to pay all its members’ benefits. See </w:t>
      </w:r>
      <w:hyperlink w:anchor="AppendixE" w:history="1">
        <w:r w:rsidRPr="006139D1">
          <w:rPr>
            <w:rStyle w:val="Hyperlink"/>
            <w:sz w:val="24"/>
            <w:szCs w:val="24"/>
          </w:rPr>
          <w:t>Appendix E</w:t>
        </w:r>
      </w:hyperlink>
      <w:r w:rsidRPr="006139D1">
        <w:rPr>
          <w:sz w:val="24"/>
          <w:szCs w:val="24"/>
        </w:rPr>
        <w:t xml:space="preserve"> for more details of what assumptions we make to determine that funding target;</w:t>
      </w:r>
    </w:p>
    <w:p w14:paraId="031CBB3D" w14:textId="52BD8FAC" w:rsidR="00DA6FF8" w:rsidRPr="006139D1" w:rsidRDefault="00DA6FF8" w:rsidP="009E424A">
      <w:pPr>
        <w:pStyle w:val="BodyTextGrey"/>
        <w:numPr>
          <w:ilvl w:val="0"/>
          <w:numId w:val="10"/>
        </w:numPr>
        <w:rPr>
          <w:sz w:val="24"/>
          <w:szCs w:val="24"/>
        </w:rPr>
      </w:pPr>
      <w:r w:rsidRPr="006139D1">
        <w:rPr>
          <w:sz w:val="24"/>
          <w:szCs w:val="24"/>
        </w:rPr>
        <w:t xml:space="preserve">Determine the time horizon over which the employer should aim to achieve that funding target. See the table in </w:t>
      </w:r>
      <w:hyperlink w:anchor="TheDifferentApproachesUsedForDiffEmps3_3" w:history="1">
        <w:r w:rsidRPr="006139D1">
          <w:rPr>
            <w:rStyle w:val="Hyperlink"/>
            <w:sz w:val="24"/>
            <w:szCs w:val="24"/>
          </w:rPr>
          <w:t>3.3</w:t>
        </w:r>
      </w:hyperlink>
      <w:r w:rsidR="000F5A6F" w:rsidRPr="006139D1">
        <w:rPr>
          <w:sz w:val="24"/>
          <w:szCs w:val="24"/>
        </w:rPr>
        <w:t xml:space="preserve"> and </w:t>
      </w:r>
      <w:hyperlink w:anchor="Notec" w:history="1">
        <w:r w:rsidR="000F5A6F" w:rsidRPr="006139D1">
          <w:rPr>
            <w:rStyle w:val="Hyperlink"/>
            <w:sz w:val="24"/>
            <w:szCs w:val="24"/>
          </w:rPr>
          <w:t>Note (c)</w:t>
        </w:r>
      </w:hyperlink>
      <w:r w:rsidRPr="006139D1">
        <w:rPr>
          <w:sz w:val="24"/>
          <w:szCs w:val="24"/>
        </w:rPr>
        <w:t xml:space="preserve"> for more details;</w:t>
      </w:r>
    </w:p>
    <w:p w14:paraId="0047B6AE" w14:textId="1D114C61" w:rsidR="00DA6FF8" w:rsidRPr="006139D1" w:rsidRDefault="00DA6FF8" w:rsidP="009E424A">
      <w:pPr>
        <w:pStyle w:val="BodyTextGrey"/>
        <w:numPr>
          <w:ilvl w:val="0"/>
          <w:numId w:val="10"/>
        </w:numPr>
        <w:rPr>
          <w:sz w:val="24"/>
          <w:szCs w:val="24"/>
        </w:rPr>
      </w:pPr>
      <w:r w:rsidRPr="006139D1">
        <w:rPr>
          <w:sz w:val="24"/>
          <w:szCs w:val="24"/>
        </w:rPr>
        <w:t xml:space="preserve">Calculate the employer contribution rate such that it has at least a given </w:t>
      </w:r>
      <w:r w:rsidR="007E3BA2" w:rsidRPr="006139D1">
        <w:rPr>
          <w:sz w:val="24"/>
          <w:szCs w:val="24"/>
        </w:rPr>
        <w:t>likelihood</w:t>
      </w:r>
      <w:r w:rsidRPr="006139D1">
        <w:rPr>
          <w:sz w:val="24"/>
          <w:szCs w:val="24"/>
        </w:rPr>
        <w:t xml:space="preserve"> of achieving that funding target over that time horizon, allowing for </w:t>
      </w:r>
      <w:r w:rsidR="000F5A6F" w:rsidRPr="006139D1">
        <w:rPr>
          <w:sz w:val="24"/>
          <w:szCs w:val="24"/>
        </w:rPr>
        <w:t>various possible</w:t>
      </w:r>
      <w:r w:rsidRPr="006139D1">
        <w:rPr>
          <w:sz w:val="24"/>
          <w:szCs w:val="24"/>
        </w:rPr>
        <w:t xml:space="preserve"> economic outcomes over that time horizon. See </w:t>
      </w:r>
      <w:hyperlink w:anchor="whatdifferenttypesof" w:history="1">
        <w:r w:rsidRPr="006139D1">
          <w:rPr>
            <w:rStyle w:val="Hyperlink"/>
            <w:sz w:val="24"/>
            <w:szCs w:val="24"/>
          </w:rPr>
          <w:t>2.3</w:t>
        </w:r>
      </w:hyperlink>
      <w:r w:rsidRPr="006139D1">
        <w:rPr>
          <w:sz w:val="24"/>
          <w:szCs w:val="24"/>
        </w:rPr>
        <w:t xml:space="preserve"> below, and the table in </w:t>
      </w:r>
      <w:hyperlink w:anchor="TheDifferentApproachesUsedForDiffEmps3_3" w:history="1">
        <w:r w:rsidRPr="006139D1">
          <w:rPr>
            <w:rStyle w:val="Hyperlink"/>
            <w:sz w:val="24"/>
            <w:szCs w:val="24"/>
          </w:rPr>
          <w:t>3.3</w:t>
        </w:r>
      </w:hyperlink>
      <w:r w:rsidRPr="006139D1">
        <w:rPr>
          <w:sz w:val="24"/>
          <w:szCs w:val="24"/>
        </w:rPr>
        <w:t xml:space="preserve"> </w:t>
      </w:r>
      <w:hyperlink w:anchor="Notee" w:history="1">
        <w:r w:rsidRPr="006139D1">
          <w:rPr>
            <w:rStyle w:val="Hyperlink"/>
            <w:sz w:val="24"/>
            <w:szCs w:val="24"/>
          </w:rPr>
          <w:t>Note (e)</w:t>
        </w:r>
      </w:hyperlink>
      <w:r w:rsidRPr="006139D1">
        <w:rPr>
          <w:sz w:val="24"/>
          <w:szCs w:val="24"/>
        </w:rPr>
        <w:t xml:space="preserve"> for more details.</w:t>
      </w:r>
    </w:p>
    <w:p w14:paraId="7211F585" w14:textId="77777777" w:rsidR="00237746" w:rsidRPr="006139D1" w:rsidRDefault="00237746" w:rsidP="009B7C3E">
      <w:pPr>
        <w:pStyle w:val="Heading2Num"/>
        <w:rPr>
          <w:sz w:val="24"/>
          <w:szCs w:val="24"/>
        </w:rPr>
      </w:pPr>
      <w:r w:rsidRPr="006139D1">
        <w:rPr>
          <w:sz w:val="24"/>
          <w:szCs w:val="24"/>
        </w:rPr>
        <w:t>What is each employer’s contribution rate?</w:t>
      </w:r>
    </w:p>
    <w:p w14:paraId="3604DF2F" w14:textId="20FD70B1" w:rsidR="00237746" w:rsidRPr="006139D1" w:rsidRDefault="000F5A6F" w:rsidP="00237746">
      <w:pPr>
        <w:pStyle w:val="BodyTextGrey"/>
        <w:rPr>
          <w:sz w:val="24"/>
          <w:szCs w:val="24"/>
        </w:rPr>
      </w:pPr>
      <w:r w:rsidRPr="006139D1">
        <w:rPr>
          <w:sz w:val="24"/>
          <w:szCs w:val="24"/>
        </w:rPr>
        <w:t xml:space="preserve">This is described in more detail in </w:t>
      </w:r>
      <w:hyperlink w:anchor="AppendixD" w:history="1">
        <w:r w:rsidRPr="006139D1">
          <w:rPr>
            <w:rStyle w:val="Hyperlink"/>
            <w:sz w:val="24"/>
            <w:szCs w:val="24"/>
          </w:rPr>
          <w:t>Appendix D</w:t>
        </w:r>
      </w:hyperlink>
      <w:r w:rsidRPr="006139D1">
        <w:rPr>
          <w:sz w:val="24"/>
          <w:szCs w:val="24"/>
        </w:rPr>
        <w:t xml:space="preserve">. </w:t>
      </w:r>
      <w:r w:rsidR="00237746" w:rsidRPr="006139D1">
        <w:rPr>
          <w:sz w:val="24"/>
          <w:szCs w:val="24"/>
        </w:rPr>
        <w:t>Employer contributions are normally made up of two elements:</w:t>
      </w:r>
    </w:p>
    <w:p w14:paraId="73F2EF41" w14:textId="2A17E513" w:rsidR="00237746" w:rsidRPr="006139D1" w:rsidRDefault="00237746" w:rsidP="004452F9">
      <w:pPr>
        <w:pStyle w:val="NumberHymans"/>
        <w:numPr>
          <w:ilvl w:val="0"/>
          <w:numId w:val="12"/>
        </w:numPr>
        <w:ind w:left="567" w:hanging="567"/>
        <w:rPr>
          <w:sz w:val="24"/>
          <w:szCs w:val="24"/>
        </w:rPr>
      </w:pPr>
      <w:r w:rsidRPr="006139D1">
        <w:rPr>
          <w:sz w:val="24"/>
          <w:szCs w:val="24"/>
        </w:rPr>
        <w:t xml:space="preserve">the estimated cost of benefits being built up </w:t>
      </w:r>
      <w:r w:rsidR="008F004A" w:rsidRPr="006139D1">
        <w:rPr>
          <w:sz w:val="24"/>
          <w:szCs w:val="24"/>
        </w:rPr>
        <w:t>each</w:t>
      </w:r>
      <w:r w:rsidRPr="006139D1">
        <w:rPr>
          <w:sz w:val="24"/>
          <w:szCs w:val="24"/>
        </w:rPr>
        <w:t xml:space="preserve"> year, </w:t>
      </w:r>
      <w:r w:rsidR="008F004A" w:rsidRPr="006139D1">
        <w:rPr>
          <w:sz w:val="24"/>
          <w:szCs w:val="24"/>
        </w:rPr>
        <w:t>after deducting the members’ own contributions</w:t>
      </w:r>
      <w:r w:rsidR="00933B37" w:rsidRPr="006139D1">
        <w:rPr>
          <w:sz w:val="24"/>
          <w:szCs w:val="24"/>
        </w:rPr>
        <w:t xml:space="preserve"> and including </w:t>
      </w:r>
      <w:r w:rsidR="00682216" w:rsidRPr="006139D1">
        <w:rPr>
          <w:sz w:val="24"/>
          <w:szCs w:val="24"/>
        </w:rPr>
        <w:t>an allowance</w:t>
      </w:r>
      <w:r w:rsidR="0044553B" w:rsidRPr="006139D1">
        <w:rPr>
          <w:sz w:val="24"/>
          <w:szCs w:val="24"/>
        </w:rPr>
        <w:t xml:space="preserve"> for</w:t>
      </w:r>
      <w:r w:rsidR="00682216" w:rsidRPr="006139D1">
        <w:rPr>
          <w:sz w:val="24"/>
          <w:szCs w:val="24"/>
        </w:rPr>
        <w:t xml:space="preserve"> </w:t>
      </w:r>
      <w:r w:rsidR="00933B37" w:rsidRPr="006139D1">
        <w:rPr>
          <w:sz w:val="24"/>
          <w:szCs w:val="24"/>
        </w:rPr>
        <w:t>administration expenses</w:t>
      </w:r>
      <w:r w:rsidR="008F004A" w:rsidRPr="006139D1">
        <w:rPr>
          <w:sz w:val="24"/>
          <w:szCs w:val="24"/>
        </w:rPr>
        <w:t>. This is</w:t>
      </w:r>
      <w:r w:rsidRPr="006139D1">
        <w:rPr>
          <w:sz w:val="24"/>
          <w:szCs w:val="24"/>
        </w:rPr>
        <w:t xml:space="preserve"> referred to as the “</w:t>
      </w:r>
      <w:r w:rsidR="008F004A" w:rsidRPr="006139D1">
        <w:rPr>
          <w:i/>
          <w:sz w:val="24"/>
          <w:szCs w:val="24"/>
        </w:rPr>
        <w:t>Primary</w:t>
      </w:r>
      <w:r w:rsidRPr="006139D1">
        <w:rPr>
          <w:i/>
          <w:sz w:val="24"/>
          <w:szCs w:val="24"/>
        </w:rPr>
        <w:t xml:space="preserve"> rate</w:t>
      </w:r>
      <w:r w:rsidRPr="006139D1">
        <w:rPr>
          <w:sz w:val="24"/>
          <w:szCs w:val="24"/>
        </w:rPr>
        <w:t>”</w:t>
      </w:r>
      <w:r w:rsidR="008F004A" w:rsidRPr="006139D1">
        <w:rPr>
          <w:sz w:val="24"/>
          <w:szCs w:val="24"/>
        </w:rPr>
        <w:t>, and is expressed as a percentage of members’ pensionable pay</w:t>
      </w:r>
      <w:r w:rsidRPr="006139D1">
        <w:rPr>
          <w:sz w:val="24"/>
          <w:szCs w:val="24"/>
        </w:rPr>
        <w:t>; plus</w:t>
      </w:r>
    </w:p>
    <w:p w14:paraId="49D18101" w14:textId="276CF850" w:rsidR="00237746" w:rsidRPr="006139D1" w:rsidRDefault="00237746" w:rsidP="004452F9">
      <w:pPr>
        <w:pStyle w:val="NumberHymans"/>
        <w:numPr>
          <w:ilvl w:val="0"/>
          <w:numId w:val="12"/>
        </w:numPr>
        <w:ind w:left="567" w:hanging="567"/>
        <w:rPr>
          <w:sz w:val="24"/>
          <w:szCs w:val="24"/>
        </w:rPr>
      </w:pPr>
      <w:r w:rsidRPr="006139D1">
        <w:rPr>
          <w:sz w:val="24"/>
          <w:szCs w:val="24"/>
        </w:rPr>
        <w:t xml:space="preserve">an adjustment for the difference between the </w:t>
      </w:r>
      <w:r w:rsidR="008F004A" w:rsidRPr="006139D1">
        <w:rPr>
          <w:sz w:val="24"/>
          <w:szCs w:val="24"/>
        </w:rPr>
        <w:t>Primary rate above, and the actual contribution the employer needs to pay</w:t>
      </w:r>
      <w:r w:rsidRPr="006139D1">
        <w:rPr>
          <w:sz w:val="24"/>
          <w:szCs w:val="24"/>
        </w:rPr>
        <w:t>, referred to as the “</w:t>
      </w:r>
      <w:r w:rsidR="008F004A" w:rsidRPr="006139D1">
        <w:rPr>
          <w:i/>
          <w:sz w:val="24"/>
          <w:szCs w:val="24"/>
        </w:rPr>
        <w:t>Secondary rate</w:t>
      </w:r>
      <w:r w:rsidRPr="006139D1">
        <w:rPr>
          <w:sz w:val="24"/>
          <w:szCs w:val="24"/>
        </w:rPr>
        <w:t xml:space="preserve">”.  </w:t>
      </w:r>
      <w:r w:rsidR="008F004A" w:rsidRPr="006139D1">
        <w:rPr>
          <w:sz w:val="24"/>
          <w:szCs w:val="24"/>
        </w:rPr>
        <w:t>In broad terms, payment of the Secondary rate</w:t>
      </w:r>
      <w:r w:rsidR="00682216" w:rsidRPr="006139D1">
        <w:rPr>
          <w:sz w:val="24"/>
          <w:szCs w:val="24"/>
        </w:rPr>
        <w:t xml:space="preserve"> is in respect of benefits already accrued at the valuation date</w:t>
      </w:r>
      <w:r w:rsidRPr="006139D1">
        <w:rPr>
          <w:sz w:val="24"/>
          <w:szCs w:val="24"/>
        </w:rPr>
        <w:t>.</w:t>
      </w:r>
      <w:r w:rsidR="008F004A" w:rsidRPr="006139D1">
        <w:rPr>
          <w:sz w:val="24"/>
          <w:szCs w:val="24"/>
        </w:rPr>
        <w:t xml:space="preserve"> The Secondary rate may be expressed as a percentage of pay and/or a monetary amount in each year. </w:t>
      </w:r>
    </w:p>
    <w:p w14:paraId="054EEEE4" w14:textId="7ED3CD40" w:rsidR="008F004A" w:rsidRPr="006139D1" w:rsidRDefault="008F004A" w:rsidP="00CD67FF">
      <w:pPr>
        <w:pStyle w:val="BodyTextGrey"/>
        <w:rPr>
          <w:sz w:val="24"/>
          <w:szCs w:val="24"/>
        </w:rPr>
      </w:pPr>
      <w:r w:rsidRPr="006139D1">
        <w:rPr>
          <w:sz w:val="24"/>
          <w:szCs w:val="24"/>
        </w:rPr>
        <w:t>The rates for all employers are shown in the Fund’s Rates and Adjustments Certificate, which forms part of the formal Actuarial Valuation Report.  Employers’ contributions are expressed as minima</w:t>
      </w:r>
      <w:r w:rsidR="00DA6FF8" w:rsidRPr="006139D1">
        <w:rPr>
          <w:sz w:val="24"/>
          <w:szCs w:val="24"/>
        </w:rPr>
        <w:t>,</w:t>
      </w:r>
      <w:r w:rsidRPr="006139D1">
        <w:rPr>
          <w:sz w:val="24"/>
          <w:szCs w:val="24"/>
        </w:rPr>
        <w:t xml:space="preserve"> with employers able to pay contributions at a higher rate.  Account of </w:t>
      </w:r>
      <w:r w:rsidR="00DA6FF8" w:rsidRPr="006139D1">
        <w:rPr>
          <w:sz w:val="24"/>
          <w:szCs w:val="24"/>
        </w:rPr>
        <w:t>any</w:t>
      </w:r>
      <w:r w:rsidRPr="006139D1">
        <w:rPr>
          <w:sz w:val="24"/>
          <w:szCs w:val="24"/>
        </w:rPr>
        <w:t xml:space="preserve"> higher rate will be taken by the Fund actuary at subsequent valuations</w:t>
      </w:r>
      <w:r w:rsidR="00DA6FF8" w:rsidRPr="006139D1">
        <w:rPr>
          <w:sz w:val="24"/>
          <w:szCs w:val="24"/>
        </w:rPr>
        <w:t>, i</w:t>
      </w:r>
      <w:r w:rsidR="000F5A6F" w:rsidRPr="006139D1">
        <w:rPr>
          <w:sz w:val="24"/>
          <w:szCs w:val="24"/>
        </w:rPr>
        <w:t>.</w:t>
      </w:r>
      <w:r w:rsidR="00DA6FF8" w:rsidRPr="006139D1">
        <w:rPr>
          <w:sz w:val="24"/>
          <w:szCs w:val="24"/>
        </w:rPr>
        <w:t>e</w:t>
      </w:r>
      <w:r w:rsidR="000F5A6F" w:rsidRPr="006139D1">
        <w:rPr>
          <w:sz w:val="24"/>
          <w:szCs w:val="24"/>
        </w:rPr>
        <w:t>.</w:t>
      </w:r>
      <w:r w:rsidR="00DA6FF8" w:rsidRPr="006139D1">
        <w:rPr>
          <w:sz w:val="24"/>
          <w:szCs w:val="24"/>
        </w:rPr>
        <w:t xml:space="preserve"> will be reflected as a credit when next calculating the employer’s contributions</w:t>
      </w:r>
      <w:r w:rsidRPr="006139D1">
        <w:rPr>
          <w:sz w:val="24"/>
          <w:szCs w:val="24"/>
        </w:rPr>
        <w:t>.</w:t>
      </w:r>
    </w:p>
    <w:p w14:paraId="70C53CE5" w14:textId="77777777" w:rsidR="00FB1B60" w:rsidRPr="006139D1" w:rsidRDefault="00FB1B60" w:rsidP="00FB1B60">
      <w:pPr>
        <w:pStyle w:val="Heading2Num"/>
        <w:rPr>
          <w:sz w:val="24"/>
          <w:szCs w:val="24"/>
        </w:rPr>
      </w:pPr>
      <w:bookmarkStart w:id="8" w:name="whatdifferenttypesof"/>
      <w:r w:rsidRPr="006139D1">
        <w:rPr>
          <w:sz w:val="24"/>
          <w:szCs w:val="24"/>
        </w:rPr>
        <w:t>What different types of employer participate in the Fund?</w:t>
      </w:r>
    </w:p>
    <w:bookmarkEnd w:id="8"/>
    <w:p w14:paraId="59BE1D78" w14:textId="0E9AD3E4" w:rsidR="00FB1B60" w:rsidRPr="006139D1" w:rsidRDefault="00FB1B60" w:rsidP="00FB1B60">
      <w:pPr>
        <w:pStyle w:val="BodyTextGrey"/>
        <w:rPr>
          <w:sz w:val="24"/>
          <w:szCs w:val="24"/>
        </w:rPr>
      </w:pPr>
      <w:r w:rsidRPr="006139D1">
        <w:rPr>
          <w:sz w:val="24"/>
          <w:szCs w:val="24"/>
        </w:rPr>
        <w:t>Historically the LGPS was intended for local authority employees only.  However over the years, with the diversification and changes to delivery of local services, many more types and numbers of employers now participate.</w:t>
      </w:r>
      <w:r w:rsidR="00682216" w:rsidRPr="006139D1">
        <w:rPr>
          <w:sz w:val="24"/>
          <w:szCs w:val="24"/>
        </w:rPr>
        <w:t xml:space="preserve">   </w:t>
      </w:r>
      <w:r w:rsidRPr="006139D1">
        <w:rPr>
          <w:sz w:val="24"/>
          <w:szCs w:val="24"/>
        </w:rPr>
        <w:t xml:space="preserve">  </w:t>
      </w:r>
    </w:p>
    <w:p w14:paraId="6D7D5D3B" w14:textId="77777777" w:rsidR="00FB1B60" w:rsidRPr="006139D1" w:rsidRDefault="00FB1B60" w:rsidP="00FB1B60">
      <w:pPr>
        <w:pStyle w:val="BodyTextGrey"/>
        <w:rPr>
          <w:sz w:val="24"/>
          <w:szCs w:val="24"/>
        </w:rPr>
      </w:pPr>
      <w:r w:rsidRPr="006139D1">
        <w:rPr>
          <w:sz w:val="24"/>
          <w:szCs w:val="24"/>
        </w:rPr>
        <w:t>In essence, participation in the LGPS is open to public sector employers providing some form of service to the local community. Whilst the majority of members will be local authority employees (and ex-employees), the majority of participating employers are those providing services in place of (or alongside) local authority services: academy schools, contractors, housing associations, charities, etc.</w:t>
      </w:r>
    </w:p>
    <w:p w14:paraId="7D6E9C10" w14:textId="77777777" w:rsidR="00FB1B60" w:rsidRPr="006139D1" w:rsidRDefault="00FB1B60" w:rsidP="00FB1B60">
      <w:pPr>
        <w:pStyle w:val="BodyTextGrey"/>
        <w:rPr>
          <w:sz w:val="24"/>
          <w:szCs w:val="24"/>
        </w:rPr>
      </w:pPr>
      <w:r w:rsidRPr="006139D1">
        <w:rPr>
          <w:sz w:val="24"/>
          <w:szCs w:val="24"/>
        </w:rPr>
        <w:t>The LGPS Regulations define various types of employer as follows:</w:t>
      </w:r>
    </w:p>
    <w:p w14:paraId="176606EE" w14:textId="3BABE381" w:rsidR="00FB1B60" w:rsidRPr="006139D1" w:rsidRDefault="00FB1B60" w:rsidP="00FB1B60">
      <w:pPr>
        <w:pStyle w:val="BodyTextGrey"/>
        <w:rPr>
          <w:sz w:val="24"/>
          <w:szCs w:val="24"/>
        </w:rPr>
      </w:pPr>
      <w:r w:rsidRPr="006139D1">
        <w:rPr>
          <w:b/>
          <w:sz w:val="24"/>
          <w:szCs w:val="24"/>
        </w:rPr>
        <w:lastRenderedPageBreak/>
        <w:t>Scheduled bodies</w:t>
      </w:r>
      <w:r w:rsidRPr="006139D1">
        <w:rPr>
          <w:sz w:val="24"/>
          <w:szCs w:val="24"/>
        </w:rPr>
        <w:t xml:space="preserve"> - councils, and other specified employers such as academies and further education establishments.  These must provide access to the LGPS in respect of their employees who are not eligible to join another public sector scheme (such as the Teachers</w:t>
      </w:r>
      <w:r w:rsidR="00247456" w:rsidRPr="006139D1">
        <w:rPr>
          <w:sz w:val="24"/>
          <w:szCs w:val="24"/>
        </w:rPr>
        <w:t>’ Pension</w:t>
      </w:r>
      <w:r w:rsidRPr="006139D1">
        <w:rPr>
          <w:sz w:val="24"/>
          <w:szCs w:val="24"/>
        </w:rPr>
        <w:t xml:space="preserve"> Scheme).  These employers are so-called because they are specified in a schedule to the LGPS Regulations.</w:t>
      </w:r>
    </w:p>
    <w:p w14:paraId="40248857" w14:textId="64BF9663" w:rsidR="00FB1B60" w:rsidRPr="006139D1" w:rsidRDefault="00FB1B60" w:rsidP="00FB1B60">
      <w:pPr>
        <w:pStyle w:val="BodyTextGrey"/>
        <w:rPr>
          <w:sz w:val="24"/>
          <w:szCs w:val="24"/>
        </w:rPr>
      </w:pPr>
      <w:r w:rsidRPr="006139D1">
        <w:rPr>
          <w:sz w:val="24"/>
          <w:szCs w:val="24"/>
        </w:rPr>
        <w:t xml:space="preserve">It is now possible for Local Education Authority schools to convert to academy status, and for other forms of school (such as Free Schools) to be established under the academies legislation. All such </w:t>
      </w:r>
      <w:r w:rsidRPr="006139D1">
        <w:rPr>
          <w:b/>
          <w:sz w:val="24"/>
          <w:szCs w:val="24"/>
        </w:rPr>
        <w:t>academies</w:t>
      </w:r>
      <w:r w:rsidR="00963DE1" w:rsidRPr="006139D1">
        <w:rPr>
          <w:b/>
          <w:sz w:val="24"/>
          <w:szCs w:val="24"/>
        </w:rPr>
        <w:t xml:space="preserve"> (or Multi Academy Trusts)</w:t>
      </w:r>
      <w:r w:rsidRPr="006139D1">
        <w:rPr>
          <w:sz w:val="24"/>
          <w:szCs w:val="24"/>
        </w:rPr>
        <w:t xml:space="preserve">, as employers of non-teaching staff, become separate new employers in the Fund.  As academies are defined in the LGPS Regulations as “Scheduled Bodies”, the Administering Authority has no discretion over whether to admit them to the Fund, and the academy has no discretion whether to continue to allow its non-teaching staff to join the Fund.  There has also been guidance issued by the </w:t>
      </w:r>
      <w:r w:rsidR="003B5E98" w:rsidRPr="006139D1">
        <w:rPr>
          <w:sz w:val="24"/>
          <w:szCs w:val="24"/>
        </w:rPr>
        <w:t>MHCLG</w:t>
      </w:r>
      <w:r w:rsidRPr="006139D1">
        <w:rPr>
          <w:sz w:val="24"/>
          <w:szCs w:val="24"/>
        </w:rPr>
        <w:t xml:space="preserve"> regarding the terms of academies’ membership in LGPS Funds.</w:t>
      </w:r>
    </w:p>
    <w:p w14:paraId="548F4E11" w14:textId="77777777" w:rsidR="00FB1B60" w:rsidRPr="006139D1" w:rsidRDefault="00FB1B60" w:rsidP="00FB1B60">
      <w:pPr>
        <w:pStyle w:val="BodyTextGrey"/>
        <w:rPr>
          <w:sz w:val="24"/>
          <w:szCs w:val="24"/>
        </w:rPr>
      </w:pPr>
      <w:r w:rsidRPr="006139D1">
        <w:rPr>
          <w:b/>
          <w:sz w:val="24"/>
          <w:szCs w:val="24"/>
        </w:rPr>
        <w:t>Designating employers</w:t>
      </w:r>
      <w:r w:rsidRPr="006139D1">
        <w:rPr>
          <w:sz w:val="24"/>
          <w:szCs w:val="24"/>
        </w:rPr>
        <w:t xml:space="preserve"> - employers such as town and parish councils are able to participate in the LGPS via resolution (and the Fund cannot refuse them entry where the resolution is passed).  These employers can designate which of their employees are eligible to join the scheme.</w:t>
      </w:r>
    </w:p>
    <w:p w14:paraId="18B2C190" w14:textId="77777777" w:rsidR="00FB1B60" w:rsidRPr="006139D1" w:rsidRDefault="00FB1B60" w:rsidP="00CD67FF">
      <w:pPr>
        <w:pStyle w:val="BodyTextGrey"/>
        <w:rPr>
          <w:sz w:val="24"/>
          <w:szCs w:val="24"/>
        </w:rPr>
      </w:pPr>
      <w:r w:rsidRPr="006139D1">
        <w:rPr>
          <w:sz w:val="24"/>
          <w:szCs w:val="24"/>
        </w:rPr>
        <w:t xml:space="preserve">Other employers are able to participate in the Fund via an admission agreement, and are referred to as ‘admission bodies’.  These employers are generally those with a “community of interest” with another scheme employer – </w:t>
      </w:r>
      <w:r w:rsidRPr="006139D1">
        <w:rPr>
          <w:b/>
          <w:sz w:val="24"/>
          <w:szCs w:val="24"/>
        </w:rPr>
        <w:t>community admission bodies</w:t>
      </w:r>
      <w:r w:rsidRPr="006139D1">
        <w:rPr>
          <w:sz w:val="24"/>
          <w:szCs w:val="24"/>
        </w:rPr>
        <w:t xml:space="preserve"> (“CAB”) or those providing a service on behalf of a scheme employer – </w:t>
      </w:r>
      <w:r w:rsidRPr="006139D1">
        <w:rPr>
          <w:b/>
          <w:sz w:val="24"/>
          <w:szCs w:val="24"/>
        </w:rPr>
        <w:t>transferee admission bodies</w:t>
      </w:r>
      <w:r w:rsidRPr="006139D1">
        <w:rPr>
          <w:sz w:val="24"/>
          <w:szCs w:val="24"/>
        </w:rPr>
        <w:t xml:space="preserve"> (“TAB”).  CABs will include housing associations and charities, TABs will generally be contractors.  The Fund is able to set its criteria for participation by these employers and can refuse entry if the requirements as set out in the Fund’s admissions policy are not met.</w:t>
      </w:r>
      <w:r w:rsidR="00963DE1" w:rsidRPr="006139D1">
        <w:rPr>
          <w:sz w:val="24"/>
          <w:szCs w:val="24"/>
        </w:rPr>
        <w:t xml:space="preserve"> (NB The terminology CAB and TAB has been dropped from recent LGPS Regulations, which instead combine both under the single term ‘admission bodies’; however, we have retained the old terminology here as we consider it to be helpful in setting funding strategies for these different employers.</w:t>
      </w:r>
    </w:p>
    <w:p w14:paraId="6A4FBBEC" w14:textId="24F93586" w:rsidR="001D3B9D" w:rsidRPr="006139D1" w:rsidRDefault="001D3B9D" w:rsidP="009B7C3E">
      <w:pPr>
        <w:pStyle w:val="Heading2Num"/>
        <w:rPr>
          <w:sz w:val="24"/>
          <w:szCs w:val="24"/>
        </w:rPr>
      </w:pPr>
      <w:r w:rsidRPr="006139D1">
        <w:rPr>
          <w:sz w:val="24"/>
          <w:szCs w:val="24"/>
        </w:rPr>
        <w:t xml:space="preserve">How </w:t>
      </w:r>
      <w:r w:rsidR="00237746" w:rsidRPr="006139D1">
        <w:rPr>
          <w:sz w:val="24"/>
          <w:szCs w:val="24"/>
        </w:rPr>
        <w:t xml:space="preserve">does the </w:t>
      </w:r>
      <w:r w:rsidR="00682216" w:rsidRPr="006139D1">
        <w:rPr>
          <w:sz w:val="24"/>
          <w:szCs w:val="24"/>
        </w:rPr>
        <w:t xml:space="preserve"> calculated</w:t>
      </w:r>
      <w:r w:rsidR="00237746" w:rsidRPr="006139D1">
        <w:rPr>
          <w:sz w:val="24"/>
          <w:szCs w:val="24"/>
        </w:rPr>
        <w:t xml:space="preserve"> </w:t>
      </w:r>
      <w:r w:rsidRPr="006139D1">
        <w:rPr>
          <w:sz w:val="24"/>
          <w:szCs w:val="24"/>
        </w:rPr>
        <w:t xml:space="preserve">contribution rate </w:t>
      </w:r>
      <w:r w:rsidR="00237746" w:rsidRPr="006139D1">
        <w:rPr>
          <w:sz w:val="24"/>
          <w:szCs w:val="24"/>
        </w:rPr>
        <w:t xml:space="preserve">vary </w:t>
      </w:r>
      <w:r w:rsidRPr="006139D1">
        <w:rPr>
          <w:sz w:val="24"/>
          <w:szCs w:val="24"/>
        </w:rPr>
        <w:t>for different employers?</w:t>
      </w:r>
    </w:p>
    <w:p w14:paraId="2B0C9C32" w14:textId="4AE6FDE6" w:rsidR="001D3B9D" w:rsidRPr="006139D1" w:rsidRDefault="00C675C4" w:rsidP="001D3B9D">
      <w:pPr>
        <w:pStyle w:val="BodyTextGrey"/>
        <w:rPr>
          <w:sz w:val="24"/>
          <w:szCs w:val="24"/>
        </w:rPr>
      </w:pPr>
      <w:r w:rsidRPr="006139D1">
        <w:rPr>
          <w:sz w:val="24"/>
          <w:szCs w:val="24"/>
        </w:rPr>
        <w:t>All three steps above</w:t>
      </w:r>
      <w:r w:rsidR="0030410E" w:rsidRPr="006139D1">
        <w:rPr>
          <w:sz w:val="24"/>
          <w:szCs w:val="24"/>
        </w:rPr>
        <w:t xml:space="preserve"> are considered when setting contributions</w:t>
      </w:r>
      <w:r w:rsidRPr="006139D1">
        <w:rPr>
          <w:sz w:val="24"/>
          <w:szCs w:val="24"/>
        </w:rPr>
        <w:t xml:space="preserve"> (</w:t>
      </w:r>
      <w:r w:rsidR="001D3B9D" w:rsidRPr="006139D1">
        <w:rPr>
          <w:sz w:val="24"/>
          <w:szCs w:val="24"/>
        </w:rPr>
        <w:t xml:space="preserve">more details are given in </w:t>
      </w:r>
      <w:hyperlink w:anchor="Section3" w:history="1">
        <w:r w:rsidR="004E0B50" w:rsidRPr="006139D1">
          <w:rPr>
            <w:rStyle w:val="Hyperlink"/>
            <w:sz w:val="24"/>
            <w:szCs w:val="24"/>
          </w:rPr>
          <w:t>Section 3</w:t>
        </w:r>
      </w:hyperlink>
      <w:r w:rsidR="004E0B50" w:rsidRPr="006139D1">
        <w:rPr>
          <w:sz w:val="24"/>
          <w:szCs w:val="24"/>
        </w:rPr>
        <w:t xml:space="preserve"> and </w:t>
      </w:r>
      <w:hyperlink w:anchor="AppendixD" w:history="1">
        <w:r w:rsidR="004E0B50" w:rsidRPr="006139D1">
          <w:rPr>
            <w:rStyle w:val="Hyperlink"/>
            <w:sz w:val="24"/>
            <w:szCs w:val="24"/>
          </w:rPr>
          <w:t>Appendix D</w:t>
        </w:r>
      </w:hyperlink>
      <w:r w:rsidR="004E0B50" w:rsidRPr="006139D1">
        <w:rPr>
          <w:sz w:val="24"/>
          <w:szCs w:val="24"/>
        </w:rPr>
        <w:t>).</w:t>
      </w:r>
    </w:p>
    <w:p w14:paraId="1DD0E715" w14:textId="07871C31" w:rsidR="00C675C4" w:rsidRPr="006139D1" w:rsidRDefault="00B74382" w:rsidP="00C728B0">
      <w:pPr>
        <w:pStyle w:val="BodyTextGrey"/>
        <w:numPr>
          <w:ilvl w:val="0"/>
          <w:numId w:val="54"/>
        </w:numPr>
        <w:rPr>
          <w:sz w:val="24"/>
          <w:szCs w:val="24"/>
        </w:rPr>
      </w:pPr>
      <w:r w:rsidRPr="006139D1">
        <w:rPr>
          <w:sz w:val="24"/>
          <w:szCs w:val="24"/>
        </w:rPr>
        <w:t xml:space="preserve">The </w:t>
      </w:r>
      <w:r w:rsidRPr="006139D1">
        <w:rPr>
          <w:b/>
          <w:sz w:val="24"/>
          <w:szCs w:val="24"/>
        </w:rPr>
        <w:t>funding target</w:t>
      </w:r>
      <w:r w:rsidRPr="006139D1">
        <w:rPr>
          <w:sz w:val="24"/>
          <w:szCs w:val="24"/>
        </w:rPr>
        <w:t xml:space="preserve"> is based on a set of assumptions about the future, </w:t>
      </w:r>
      <w:r w:rsidR="0075349A" w:rsidRPr="006139D1">
        <w:rPr>
          <w:sz w:val="24"/>
          <w:szCs w:val="24"/>
        </w:rPr>
        <w:t>(</w:t>
      </w:r>
      <w:r w:rsidRPr="006139D1">
        <w:rPr>
          <w:sz w:val="24"/>
          <w:szCs w:val="24"/>
        </w:rPr>
        <w:t>e</w:t>
      </w:r>
      <w:r w:rsidR="0075349A" w:rsidRPr="006139D1">
        <w:rPr>
          <w:sz w:val="24"/>
          <w:szCs w:val="24"/>
        </w:rPr>
        <w:t>.</w:t>
      </w:r>
      <w:r w:rsidRPr="006139D1">
        <w:rPr>
          <w:sz w:val="24"/>
          <w:szCs w:val="24"/>
        </w:rPr>
        <w:t>g</w:t>
      </w:r>
      <w:r w:rsidR="0075349A" w:rsidRPr="006139D1">
        <w:rPr>
          <w:sz w:val="24"/>
          <w:szCs w:val="24"/>
        </w:rPr>
        <w:t>.</w:t>
      </w:r>
      <w:r w:rsidRPr="006139D1">
        <w:rPr>
          <w:sz w:val="24"/>
          <w:szCs w:val="24"/>
        </w:rPr>
        <w:t xml:space="preserve"> investment returns, inflation, pensioners’ life expectancies</w:t>
      </w:r>
      <w:r w:rsidR="0075349A" w:rsidRPr="006139D1">
        <w:rPr>
          <w:sz w:val="24"/>
          <w:szCs w:val="24"/>
        </w:rPr>
        <w:t>)</w:t>
      </w:r>
      <w:r w:rsidRPr="006139D1">
        <w:rPr>
          <w:sz w:val="24"/>
          <w:szCs w:val="24"/>
        </w:rPr>
        <w:t xml:space="preserve">. </w:t>
      </w:r>
      <w:r w:rsidR="00682216" w:rsidRPr="006139D1">
        <w:rPr>
          <w:sz w:val="24"/>
          <w:szCs w:val="24"/>
        </w:rPr>
        <w:t>I</w:t>
      </w:r>
      <w:r w:rsidRPr="006139D1">
        <w:rPr>
          <w:sz w:val="24"/>
          <w:szCs w:val="24"/>
        </w:rPr>
        <w:t xml:space="preserve">f an employer is approaching the end of its participation in the Fund then its funding target may be set on a more prudent basis, so that its liabilities are less likely to be spread among other employers after its </w:t>
      </w:r>
      <w:r w:rsidR="00B247F8" w:rsidRPr="006139D1">
        <w:rPr>
          <w:sz w:val="24"/>
          <w:szCs w:val="24"/>
        </w:rPr>
        <w:t>cessation</w:t>
      </w:r>
      <w:r w:rsidRPr="006139D1">
        <w:rPr>
          <w:sz w:val="24"/>
          <w:szCs w:val="24"/>
        </w:rPr>
        <w:t>;</w:t>
      </w:r>
    </w:p>
    <w:p w14:paraId="723DDDF4" w14:textId="34D4F1A1" w:rsidR="0019522B" w:rsidRDefault="00B74382" w:rsidP="00C728B0">
      <w:pPr>
        <w:pStyle w:val="BodyTextGrey"/>
        <w:numPr>
          <w:ilvl w:val="0"/>
          <w:numId w:val="54"/>
        </w:numPr>
        <w:rPr>
          <w:sz w:val="24"/>
          <w:szCs w:val="24"/>
        </w:rPr>
      </w:pPr>
      <w:r w:rsidRPr="006139D1">
        <w:rPr>
          <w:sz w:val="24"/>
          <w:szCs w:val="24"/>
        </w:rPr>
        <w:t xml:space="preserve">The </w:t>
      </w:r>
      <w:r w:rsidRPr="006139D1">
        <w:rPr>
          <w:b/>
          <w:sz w:val="24"/>
          <w:szCs w:val="24"/>
        </w:rPr>
        <w:t>time horizon</w:t>
      </w:r>
      <w:r w:rsidRPr="006139D1">
        <w:rPr>
          <w:sz w:val="24"/>
          <w:szCs w:val="24"/>
        </w:rPr>
        <w:t xml:space="preserve"> required is the period over which</w:t>
      </w:r>
      <w:r w:rsidR="00682216" w:rsidRPr="006139D1">
        <w:rPr>
          <w:sz w:val="24"/>
          <w:szCs w:val="24"/>
        </w:rPr>
        <w:t xml:space="preserve"> the funding target is achieved</w:t>
      </w:r>
      <w:r w:rsidRPr="006139D1">
        <w:rPr>
          <w:sz w:val="24"/>
          <w:szCs w:val="24"/>
        </w:rPr>
        <w:t xml:space="preserve">. A shorter period will lead to higher contributions, and vice versa (all other things being equal). Employers </w:t>
      </w:r>
      <w:r w:rsidR="00B247F8" w:rsidRPr="006139D1">
        <w:rPr>
          <w:sz w:val="24"/>
          <w:szCs w:val="24"/>
        </w:rPr>
        <w:t>may be given a lower time horizon if they</w:t>
      </w:r>
      <w:r w:rsidRPr="006139D1">
        <w:rPr>
          <w:sz w:val="24"/>
          <w:szCs w:val="24"/>
        </w:rPr>
        <w:t xml:space="preserve"> have a less perman</w:t>
      </w:r>
      <w:r w:rsidR="00B247F8" w:rsidRPr="006139D1">
        <w:rPr>
          <w:sz w:val="24"/>
          <w:szCs w:val="24"/>
        </w:rPr>
        <w:t>ent anticipated membership, or do not have tax-raising powers to increase contributions if investment returns under-perform;</w:t>
      </w:r>
      <w:r w:rsidR="0075349A" w:rsidRPr="006139D1">
        <w:rPr>
          <w:sz w:val="24"/>
          <w:szCs w:val="24"/>
        </w:rPr>
        <w:t xml:space="preserve"> and</w:t>
      </w:r>
    </w:p>
    <w:p w14:paraId="7E08DB60" w14:textId="779B4116" w:rsidR="00B247F8" w:rsidRPr="0019522B" w:rsidRDefault="0019522B" w:rsidP="002F7970">
      <w:pPr>
        <w:spacing w:after="20" w:line="240" w:lineRule="auto"/>
        <w:jc w:val="left"/>
        <w:rPr>
          <w:sz w:val="24"/>
          <w:szCs w:val="24"/>
        </w:rPr>
      </w:pPr>
      <w:r>
        <w:rPr>
          <w:sz w:val="24"/>
          <w:szCs w:val="24"/>
        </w:rPr>
        <w:br w:type="page"/>
      </w:r>
    </w:p>
    <w:p w14:paraId="4A78C4DD" w14:textId="36C4F104" w:rsidR="00B74382" w:rsidRPr="006139D1" w:rsidRDefault="00B247F8" w:rsidP="00C728B0">
      <w:pPr>
        <w:pStyle w:val="BodyTextGrey"/>
        <w:numPr>
          <w:ilvl w:val="0"/>
          <w:numId w:val="54"/>
        </w:numPr>
        <w:rPr>
          <w:sz w:val="24"/>
          <w:szCs w:val="24"/>
        </w:rPr>
      </w:pPr>
      <w:r w:rsidRPr="006139D1">
        <w:rPr>
          <w:sz w:val="24"/>
          <w:szCs w:val="24"/>
        </w:rPr>
        <w:lastRenderedPageBreak/>
        <w:t xml:space="preserve">The </w:t>
      </w:r>
      <w:r w:rsidR="00682216" w:rsidRPr="006139D1">
        <w:rPr>
          <w:b/>
          <w:sz w:val="24"/>
          <w:szCs w:val="24"/>
        </w:rPr>
        <w:t xml:space="preserve"> likelihood</w:t>
      </w:r>
      <w:r w:rsidRPr="006139D1">
        <w:rPr>
          <w:b/>
          <w:sz w:val="24"/>
          <w:szCs w:val="24"/>
        </w:rPr>
        <w:t xml:space="preserve"> of achieving</w:t>
      </w:r>
      <w:r w:rsidRPr="006139D1">
        <w:rPr>
          <w:sz w:val="24"/>
          <w:szCs w:val="24"/>
        </w:rPr>
        <w:t xml:space="preserve"> the funding target over that time horizon will be dependent on the Fund’s view of the strength of employer</w:t>
      </w:r>
      <w:r w:rsidR="00B74382" w:rsidRPr="006139D1">
        <w:rPr>
          <w:sz w:val="24"/>
          <w:szCs w:val="24"/>
        </w:rPr>
        <w:t xml:space="preserve"> </w:t>
      </w:r>
      <w:r w:rsidRPr="006139D1">
        <w:rPr>
          <w:sz w:val="24"/>
          <w:szCs w:val="24"/>
        </w:rPr>
        <w:t xml:space="preserve">covenant and its funding profile. Where an employer is considered to be </w:t>
      </w:r>
      <w:proofErr w:type="spellStart"/>
      <w:r w:rsidRPr="006139D1">
        <w:rPr>
          <w:sz w:val="24"/>
          <w:szCs w:val="24"/>
        </w:rPr>
        <w:t>weakerthen</w:t>
      </w:r>
      <w:proofErr w:type="spellEnd"/>
      <w:r w:rsidRPr="006139D1">
        <w:rPr>
          <w:sz w:val="24"/>
          <w:szCs w:val="24"/>
        </w:rPr>
        <w:t xml:space="preserve"> the required </w:t>
      </w:r>
      <w:r w:rsidR="00682216" w:rsidRPr="006139D1">
        <w:rPr>
          <w:sz w:val="24"/>
          <w:szCs w:val="24"/>
        </w:rPr>
        <w:t xml:space="preserve"> likelihood</w:t>
      </w:r>
      <w:r w:rsidRPr="006139D1">
        <w:rPr>
          <w:sz w:val="24"/>
          <w:szCs w:val="24"/>
        </w:rPr>
        <w:t xml:space="preserve"> will be set higher, which in turn will increase the required contributions (and vice versa).</w:t>
      </w:r>
    </w:p>
    <w:p w14:paraId="1625296E" w14:textId="77777777" w:rsidR="001D3B9D" w:rsidRPr="006139D1" w:rsidRDefault="001D3B9D" w:rsidP="001D3B9D">
      <w:pPr>
        <w:pStyle w:val="BodyTextGrey"/>
        <w:rPr>
          <w:sz w:val="24"/>
          <w:szCs w:val="24"/>
        </w:rPr>
      </w:pPr>
      <w:r w:rsidRPr="006139D1">
        <w:rPr>
          <w:sz w:val="24"/>
          <w:szCs w:val="24"/>
        </w:rPr>
        <w:t xml:space="preserve">For some employers it may be agreed to pool contributions, see </w:t>
      </w:r>
      <w:hyperlink w:anchor="PooledContributions3_4" w:history="1">
        <w:r w:rsidR="009B7C3E" w:rsidRPr="006139D1">
          <w:rPr>
            <w:rStyle w:val="Hyperlink"/>
            <w:sz w:val="24"/>
            <w:szCs w:val="24"/>
          </w:rPr>
          <w:t>3.4</w:t>
        </w:r>
      </w:hyperlink>
      <w:r w:rsidRPr="006139D1">
        <w:rPr>
          <w:sz w:val="24"/>
          <w:szCs w:val="24"/>
        </w:rPr>
        <w:t xml:space="preserve">. </w:t>
      </w:r>
    </w:p>
    <w:p w14:paraId="2AB31DF4" w14:textId="77777777" w:rsidR="001D3B9D" w:rsidRPr="006139D1" w:rsidRDefault="001D3B9D" w:rsidP="001D3B9D">
      <w:pPr>
        <w:pStyle w:val="BodyTextGrey"/>
        <w:rPr>
          <w:sz w:val="24"/>
          <w:szCs w:val="24"/>
        </w:rPr>
      </w:pPr>
      <w:r w:rsidRPr="006139D1">
        <w:rPr>
          <w:sz w:val="24"/>
          <w:szCs w:val="24"/>
        </w:rPr>
        <w:t xml:space="preserve">Any costs of </w:t>
      </w:r>
      <w:proofErr w:type="spellStart"/>
      <w:r w:rsidRPr="006139D1">
        <w:rPr>
          <w:sz w:val="24"/>
          <w:szCs w:val="24"/>
        </w:rPr>
        <w:t>non ill-health</w:t>
      </w:r>
      <w:proofErr w:type="spellEnd"/>
      <w:r w:rsidRPr="006139D1">
        <w:rPr>
          <w:sz w:val="24"/>
          <w:szCs w:val="24"/>
        </w:rPr>
        <w:t xml:space="preserve"> early retirements must be paid by the employer</w:t>
      </w:r>
      <w:r w:rsidR="009B7C3E" w:rsidRPr="006139D1">
        <w:rPr>
          <w:sz w:val="24"/>
          <w:szCs w:val="24"/>
        </w:rPr>
        <w:t xml:space="preserve">, see </w:t>
      </w:r>
      <w:hyperlink w:anchor="NonIllHealthEarlyRetirmentCosts3_6" w:history="1">
        <w:r w:rsidR="009B7C3E" w:rsidRPr="006139D1">
          <w:rPr>
            <w:rStyle w:val="Hyperlink"/>
            <w:sz w:val="24"/>
            <w:szCs w:val="24"/>
          </w:rPr>
          <w:t>3.6</w:t>
        </w:r>
      </w:hyperlink>
      <w:r w:rsidRPr="006139D1">
        <w:rPr>
          <w:sz w:val="24"/>
          <w:szCs w:val="24"/>
        </w:rPr>
        <w:t>.</w:t>
      </w:r>
    </w:p>
    <w:p w14:paraId="2FD7A721" w14:textId="5D9AD751" w:rsidR="00433827" w:rsidRPr="006139D1" w:rsidRDefault="00B247F8" w:rsidP="004D3F80">
      <w:pPr>
        <w:pStyle w:val="BodyTextGrey"/>
        <w:rPr>
          <w:b/>
          <w:color w:val="F06A00" w:themeColor="accent1"/>
          <w:sz w:val="24"/>
          <w:szCs w:val="24"/>
        </w:rPr>
      </w:pPr>
      <w:r w:rsidRPr="006139D1">
        <w:rPr>
          <w:sz w:val="24"/>
          <w:szCs w:val="24"/>
        </w:rPr>
        <w:t xml:space="preserve">Costs of ill-health early retirements are covered in </w:t>
      </w:r>
      <w:hyperlink w:anchor="illhealthearlyretirementcosts" w:history="1">
        <w:r w:rsidRPr="006139D1">
          <w:rPr>
            <w:rStyle w:val="Hyperlink"/>
            <w:sz w:val="24"/>
            <w:szCs w:val="24"/>
          </w:rPr>
          <w:t>3.7</w:t>
        </w:r>
      </w:hyperlink>
      <w:r w:rsidRPr="006139D1">
        <w:rPr>
          <w:sz w:val="24"/>
          <w:szCs w:val="24"/>
        </w:rPr>
        <w:t xml:space="preserve"> and </w:t>
      </w:r>
      <w:hyperlink w:anchor="externalillhealthinsurance" w:history="1">
        <w:r w:rsidRPr="006139D1">
          <w:rPr>
            <w:rStyle w:val="Hyperlink"/>
            <w:sz w:val="24"/>
            <w:szCs w:val="24"/>
          </w:rPr>
          <w:t>3.8</w:t>
        </w:r>
      </w:hyperlink>
      <w:r w:rsidRPr="006139D1">
        <w:rPr>
          <w:sz w:val="24"/>
          <w:szCs w:val="24"/>
        </w:rPr>
        <w:t>.</w:t>
      </w:r>
    </w:p>
    <w:p w14:paraId="7F337015" w14:textId="184330B2" w:rsidR="00B517DE" w:rsidRPr="006139D1" w:rsidRDefault="00B517DE" w:rsidP="00B517DE">
      <w:pPr>
        <w:pStyle w:val="Heading2Num"/>
        <w:rPr>
          <w:sz w:val="24"/>
          <w:szCs w:val="24"/>
        </w:rPr>
      </w:pPr>
      <w:r w:rsidRPr="006139D1">
        <w:rPr>
          <w:sz w:val="24"/>
          <w:szCs w:val="24"/>
        </w:rPr>
        <w:t xml:space="preserve">How is a </w:t>
      </w:r>
      <w:r w:rsidR="00682216" w:rsidRPr="006139D1">
        <w:rPr>
          <w:sz w:val="24"/>
          <w:szCs w:val="24"/>
        </w:rPr>
        <w:t xml:space="preserve"> funding level</w:t>
      </w:r>
      <w:r w:rsidRPr="006139D1">
        <w:rPr>
          <w:sz w:val="24"/>
          <w:szCs w:val="24"/>
        </w:rPr>
        <w:t xml:space="preserve"> calculated?</w:t>
      </w:r>
    </w:p>
    <w:p w14:paraId="735FCBD3" w14:textId="77777777" w:rsidR="00B517DE" w:rsidRPr="006139D1" w:rsidRDefault="00B517DE" w:rsidP="00B517DE">
      <w:pPr>
        <w:pStyle w:val="BodyTextGrey"/>
        <w:rPr>
          <w:sz w:val="24"/>
          <w:szCs w:val="24"/>
        </w:rPr>
      </w:pPr>
      <w:r w:rsidRPr="006139D1">
        <w:rPr>
          <w:sz w:val="24"/>
          <w:szCs w:val="24"/>
        </w:rPr>
        <w:t>An employer’s “funding level” is defined as the ratio of:</w:t>
      </w:r>
    </w:p>
    <w:p w14:paraId="3D1B5F5B" w14:textId="24AD4B44" w:rsidR="00B517DE" w:rsidRPr="006139D1" w:rsidRDefault="00B517DE" w:rsidP="00C728B0">
      <w:pPr>
        <w:pStyle w:val="BulletHymans"/>
        <w:numPr>
          <w:ilvl w:val="0"/>
          <w:numId w:val="36"/>
        </w:numPr>
        <w:ind w:left="567" w:hanging="567"/>
        <w:rPr>
          <w:sz w:val="24"/>
          <w:szCs w:val="24"/>
        </w:rPr>
      </w:pPr>
      <w:r w:rsidRPr="006139D1">
        <w:rPr>
          <w:sz w:val="24"/>
          <w:szCs w:val="24"/>
        </w:rPr>
        <w:t>the market value of the employer’s share of assets</w:t>
      </w:r>
      <w:r w:rsidR="00C675C4" w:rsidRPr="006139D1">
        <w:rPr>
          <w:sz w:val="24"/>
          <w:szCs w:val="24"/>
        </w:rPr>
        <w:t xml:space="preserve"> (see </w:t>
      </w:r>
      <w:hyperlink w:anchor="AppendixD" w:history="1">
        <w:r w:rsidR="00C675C4" w:rsidRPr="006139D1">
          <w:rPr>
            <w:rStyle w:val="Hyperlink"/>
            <w:sz w:val="24"/>
            <w:szCs w:val="24"/>
          </w:rPr>
          <w:t>Appendix D</w:t>
        </w:r>
      </w:hyperlink>
      <w:r w:rsidR="00C675C4" w:rsidRPr="006139D1">
        <w:rPr>
          <w:sz w:val="24"/>
          <w:szCs w:val="24"/>
        </w:rPr>
        <w:t xml:space="preserve">, section </w:t>
      </w:r>
      <w:hyperlink w:anchor="D5How_is_each_employers_asset_share_cal" w:history="1">
        <w:r w:rsidR="00C675C4" w:rsidRPr="006139D1">
          <w:rPr>
            <w:rStyle w:val="Hyperlink"/>
            <w:sz w:val="24"/>
            <w:szCs w:val="24"/>
          </w:rPr>
          <w:t>D5</w:t>
        </w:r>
      </w:hyperlink>
      <w:r w:rsidR="00C675C4" w:rsidRPr="006139D1">
        <w:rPr>
          <w:sz w:val="24"/>
          <w:szCs w:val="24"/>
        </w:rPr>
        <w:t>, for further details of how this is calculated)</w:t>
      </w:r>
      <w:r w:rsidRPr="006139D1">
        <w:rPr>
          <w:sz w:val="24"/>
          <w:szCs w:val="24"/>
        </w:rPr>
        <w:t xml:space="preserve">, to </w:t>
      </w:r>
    </w:p>
    <w:p w14:paraId="5E25E9B8" w14:textId="77777777" w:rsidR="00B517DE" w:rsidRPr="006139D1" w:rsidRDefault="00B517DE" w:rsidP="00C728B0">
      <w:pPr>
        <w:pStyle w:val="BulletHymans"/>
        <w:numPr>
          <w:ilvl w:val="0"/>
          <w:numId w:val="36"/>
        </w:numPr>
        <w:ind w:left="567" w:hanging="567"/>
        <w:rPr>
          <w:sz w:val="24"/>
          <w:szCs w:val="24"/>
        </w:rPr>
      </w:pPr>
      <w:r w:rsidRPr="006139D1">
        <w:rPr>
          <w:sz w:val="24"/>
          <w:szCs w:val="24"/>
        </w:rPr>
        <w:t>the value placed by the actuary on the benefits built up to date for the employer’s employees and ex-employees (the “liabilities”).  The Fund actuary agrees with the Administering Authority the assumptions to be used in calculating this value.</w:t>
      </w:r>
    </w:p>
    <w:p w14:paraId="6F841281" w14:textId="1075044F" w:rsidR="00B517DE" w:rsidRPr="006139D1" w:rsidRDefault="00B517DE" w:rsidP="00B517DE">
      <w:pPr>
        <w:pStyle w:val="BodyTextGrey"/>
        <w:rPr>
          <w:sz w:val="24"/>
          <w:szCs w:val="24"/>
        </w:rPr>
      </w:pPr>
      <w:r w:rsidRPr="006139D1">
        <w:rPr>
          <w:sz w:val="24"/>
          <w:szCs w:val="24"/>
        </w:rPr>
        <w:t xml:space="preserve">If this is less than 100% then it means the employer has a shortfall, which is the employer’s </w:t>
      </w:r>
      <w:r w:rsidR="00682216" w:rsidRPr="006139D1">
        <w:rPr>
          <w:sz w:val="24"/>
          <w:szCs w:val="24"/>
        </w:rPr>
        <w:t>“</w:t>
      </w:r>
      <w:r w:rsidRPr="006139D1">
        <w:rPr>
          <w:sz w:val="24"/>
          <w:szCs w:val="24"/>
        </w:rPr>
        <w:t>deficit</w:t>
      </w:r>
      <w:r w:rsidR="00682216" w:rsidRPr="006139D1">
        <w:rPr>
          <w:sz w:val="24"/>
          <w:szCs w:val="24"/>
        </w:rPr>
        <w:t>”</w:t>
      </w:r>
      <w:r w:rsidRPr="006139D1">
        <w:rPr>
          <w:sz w:val="24"/>
          <w:szCs w:val="24"/>
        </w:rPr>
        <w:t xml:space="preserve">; if it is more than 100% then the employer is said to be in </w:t>
      </w:r>
      <w:r w:rsidR="00682216" w:rsidRPr="006139D1">
        <w:rPr>
          <w:sz w:val="24"/>
          <w:szCs w:val="24"/>
        </w:rPr>
        <w:t>“</w:t>
      </w:r>
      <w:r w:rsidRPr="006139D1">
        <w:rPr>
          <w:sz w:val="24"/>
          <w:szCs w:val="24"/>
        </w:rPr>
        <w:t>surplus</w:t>
      </w:r>
      <w:r w:rsidR="00682216" w:rsidRPr="006139D1">
        <w:rPr>
          <w:sz w:val="24"/>
          <w:szCs w:val="24"/>
        </w:rPr>
        <w:t>”</w:t>
      </w:r>
      <w:r w:rsidRPr="006139D1">
        <w:rPr>
          <w:sz w:val="24"/>
          <w:szCs w:val="24"/>
        </w:rPr>
        <w:t>.  The amount of deficit or shortfall is the difference between the asset value and the liabilities value.</w:t>
      </w:r>
    </w:p>
    <w:p w14:paraId="38C6D6D3" w14:textId="64AFD036" w:rsidR="00C675C4" w:rsidRPr="006139D1" w:rsidRDefault="00C675C4" w:rsidP="00B517DE">
      <w:pPr>
        <w:pStyle w:val="BodyTextGrey"/>
        <w:rPr>
          <w:sz w:val="24"/>
          <w:szCs w:val="24"/>
        </w:rPr>
      </w:pPr>
      <w:r w:rsidRPr="006139D1">
        <w:rPr>
          <w:sz w:val="24"/>
          <w:szCs w:val="24"/>
        </w:rPr>
        <w:t xml:space="preserve">It is important to note that the funding level </w:t>
      </w:r>
      <w:r w:rsidR="00682216" w:rsidRPr="006139D1">
        <w:rPr>
          <w:sz w:val="24"/>
          <w:szCs w:val="24"/>
        </w:rPr>
        <w:t xml:space="preserve">and deficit/surplus </w:t>
      </w:r>
      <w:r w:rsidRPr="006139D1">
        <w:rPr>
          <w:sz w:val="24"/>
          <w:szCs w:val="24"/>
        </w:rPr>
        <w:t xml:space="preserve">are only measurements at a particular point in time, on a particular set of assumptions about the future. Whilst we recognise that various parties will take an interest in these measures, for most employers the key issue is how likely it is that their contributions will be sufficient to pay for their members’ benefits (when added to their existing asset share and anticipated investment returns). </w:t>
      </w:r>
    </w:p>
    <w:p w14:paraId="3F2C2F26" w14:textId="47D3A69F" w:rsidR="00B517DE" w:rsidRPr="006139D1" w:rsidRDefault="00C675C4" w:rsidP="00B517DE">
      <w:pPr>
        <w:pStyle w:val="BodyTextGrey"/>
        <w:rPr>
          <w:sz w:val="24"/>
          <w:szCs w:val="24"/>
        </w:rPr>
      </w:pPr>
      <w:r w:rsidRPr="006139D1">
        <w:rPr>
          <w:sz w:val="24"/>
          <w:szCs w:val="24"/>
        </w:rPr>
        <w:t xml:space="preserve">In short,  funding levels </w:t>
      </w:r>
      <w:r w:rsidR="00682216" w:rsidRPr="006139D1">
        <w:rPr>
          <w:sz w:val="24"/>
          <w:szCs w:val="24"/>
        </w:rPr>
        <w:t xml:space="preserve">and deficits </w:t>
      </w:r>
      <w:r w:rsidRPr="006139D1">
        <w:rPr>
          <w:sz w:val="24"/>
          <w:szCs w:val="24"/>
        </w:rPr>
        <w:t>are short term</w:t>
      </w:r>
      <w:r w:rsidR="00682216" w:rsidRPr="006139D1">
        <w:rPr>
          <w:sz w:val="24"/>
          <w:szCs w:val="24"/>
        </w:rPr>
        <w:t xml:space="preserve"> high level risk</w:t>
      </w:r>
      <w:r w:rsidRPr="006139D1">
        <w:rPr>
          <w:sz w:val="24"/>
          <w:szCs w:val="24"/>
        </w:rPr>
        <w:t xml:space="preserve"> measures, whereas contribution-setting is a longer term issue</w:t>
      </w:r>
      <w:r w:rsidR="00B517DE" w:rsidRPr="006139D1">
        <w:rPr>
          <w:sz w:val="24"/>
          <w:szCs w:val="24"/>
        </w:rPr>
        <w:t>.</w:t>
      </w:r>
    </w:p>
    <w:p w14:paraId="1D199E1F" w14:textId="77777777" w:rsidR="001D3B9D" w:rsidRPr="006139D1" w:rsidRDefault="009B7C3E" w:rsidP="001D3B9D">
      <w:pPr>
        <w:pStyle w:val="Heading2Num"/>
        <w:rPr>
          <w:sz w:val="24"/>
          <w:szCs w:val="24"/>
        </w:rPr>
      </w:pPr>
      <w:r w:rsidRPr="006139D1">
        <w:rPr>
          <w:sz w:val="24"/>
          <w:szCs w:val="24"/>
        </w:rPr>
        <w:t>How does the Fund recognise that contribution levels can affect council and employer service provision, and council tax?</w:t>
      </w:r>
    </w:p>
    <w:p w14:paraId="7AD3D284" w14:textId="77777777" w:rsidR="009B7C3E" w:rsidRPr="006139D1" w:rsidRDefault="009B7C3E" w:rsidP="009B7C3E">
      <w:pPr>
        <w:pStyle w:val="BodyTextGrey"/>
        <w:rPr>
          <w:sz w:val="24"/>
          <w:szCs w:val="24"/>
        </w:rPr>
      </w:pPr>
      <w:r w:rsidRPr="006139D1">
        <w:rPr>
          <w:sz w:val="24"/>
          <w:szCs w:val="24"/>
        </w:rPr>
        <w:t xml:space="preserve">The Administering Authority and the Fund actuary are acutely aware that, all other things being equal, a higher contribution required to be paid to the Fund will mean less cash available for the employer to spend on the provision of services. </w:t>
      </w:r>
      <w:r w:rsidR="00433827" w:rsidRPr="006139D1">
        <w:rPr>
          <w:sz w:val="24"/>
          <w:szCs w:val="24"/>
        </w:rPr>
        <w:t xml:space="preserve"> </w:t>
      </w:r>
      <w:r w:rsidRPr="006139D1">
        <w:rPr>
          <w:sz w:val="24"/>
          <w:szCs w:val="24"/>
        </w:rPr>
        <w:t>For instance:</w:t>
      </w:r>
    </w:p>
    <w:p w14:paraId="2B400831" w14:textId="20A71BE2" w:rsidR="009B7C3E" w:rsidRPr="006139D1" w:rsidRDefault="009B7C3E" w:rsidP="00C728B0">
      <w:pPr>
        <w:pStyle w:val="BulletHymans"/>
        <w:numPr>
          <w:ilvl w:val="0"/>
          <w:numId w:val="56"/>
        </w:numPr>
        <w:ind w:left="567" w:hanging="567"/>
        <w:rPr>
          <w:sz w:val="24"/>
          <w:szCs w:val="24"/>
        </w:rPr>
      </w:pPr>
      <w:r w:rsidRPr="006139D1">
        <w:rPr>
          <w:sz w:val="24"/>
          <w:szCs w:val="24"/>
        </w:rPr>
        <w:t xml:space="preserve">Higher </w:t>
      </w:r>
      <w:r w:rsidR="00963DE1" w:rsidRPr="006139D1">
        <w:rPr>
          <w:sz w:val="24"/>
          <w:szCs w:val="24"/>
        </w:rPr>
        <w:t>P</w:t>
      </w:r>
      <w:r w:rsidRPr="006139D1">
        <w:rPr>
          <w:sz w:val="24"/>
          <w:szCs w:val="24"/>
        </w:rPr>
        <w:t>ension Fund contributions may result in reduced council spending, which in turn could affect the resources available for council services, and/or greater pressure on council tax levels;</w:t>
      </w:r>
    </w:p>
    <w:p w14:paraId="52870B8D" w14:textId="17BCCB27" w:rsidR="009B7C3E" w:rsidRPr="006139D1" w:rsidRDefault="0030410E" w:rsidP="00C728B0">
      <w:pPr>
        <w:pStyle w:val="BulletHymans"/>
        <w:numPr>
          <w:ilvl w:val="0"/>
          <w:numId w:val="56"/>
        </w:numPr>
        <w:ind w:left="567" w:hanging="567"/>
        <w:rPr>
          <w:sz w:val="24"/>
          <w:szCs w:val="24"/>
        </w:rPr>
      </w:pPr>
      <w:r w:rsidRPr="006139D1">
        <w:rPr>
          <w:sz w:val="24"/>
          <w:szCs w:val="24"/>
        </w:rPr>
        <w:t xml:space="preserve">Contributions which </w:t>
      </w:r>
      <w:r w:rsidR="009B7C3E" w:rsidRPr="006139D1">
        <w:rPr>
          <w:sz w:val="24"/>
          <w:szCs w:val="24"/>
        </w:rPr>
        <w:t xml:space="preserve">Academies pay to the Fund will therefore </w:t>
      </w:r>
      <w:r w:rsidRPr="006139D1">
        <w:rPr>
          <w:sz w:val="24"/>
          <w:szCs w:val="24"/>
        </w:rPr>
        <w:t xml:space="preserve">not be available </w:t>
      </w:r>
      <w:r w:rsidR="009B7C3E" w:rsidRPr="006139D1">
        <w:rPr>
          <w:sz w:val="24"/>
          <w:szCs w:val="24"/>
        </w:rPr>
        <w:t>to pay for providing education;</w:t>
      </w:r>
      <w:r w:rsidR="0075349A" w:rsidRPr="006139D1">
        <w:rPr>
          <w:sz w:val="24"/>
          <w:szCs w:val="24"/>
        </w:rPr>
        <w:t xml:space="preserve"> and</w:t>
      </w:r>
    </w:p>
    <w:p w14:paraId="21D31291" w14:textId="40CA5283" w:rsidR="009B7C3E" w:rsidRPr="006139D1" w:rsidRDefault="009B7C3E" w:rsidP="00C728B0">
      <w:pPr>
        <w:pStyle w:val="BulletHymans"/>
        <w:numPr>
          <w:ilvl w:val="0"/>
          <w:numId w:val="56"/>
        </w:numPr>
        <w:ind w:left="567" w:hanging="567"/>
        <w:rPr>
          <w:sz w:val="24"/>
          <w:szCs w:val="24"/>
        </w:rPr>
      </w:pPr>
      <w:r w:rsidRPr="006139D1">
        <w:rPr>
          <w:sz w:val="24"/>
          <w:szCs w:val="24"/>
        </w:rPr>
        <w:t>Other employers will provide various services to the local community, perhaps through housing</w:t>
      </w:r>
      <w:r w:rsidR="00A460ED" w:rsidRPr="006139D1">
        <w:rPr>
          <w:sz w:val="24"/>
          <w:szCs w:val="24"/>
        </w:rPr>
        <w:t xml:space="preserve"> associations</w:t>
      </w:r>
      <w:r w:rsidRPr="006139D1">
        <w:rPr>
          <w:sz w:val="24"/>
          <w:szCs w:val="24"/>
        </w:rPr>
        <w:t xml:space="preserve">, charitable work, or contracting council services. If they </w:t>
      </w:r>
      <w:r w:rsidR="00A460ED" w:rsidRPr="006139D1">
        <w:rPr>
          <w:sz w:val="24"/>
          <w:szCs w:val="24"/>
        </w:rPr>
        <w:t xml:space="preserve">are required to </w:t>
      </w:r>
      <w:r w:rsidRPr="006139D1">
        <w:rPr>
          <w:sz w:val="24"/>
          <w:szCs w:val="24"/>
        </w:rPr>
        <w:t xml:space="preserve">pay more in pension contributions </w:t>
      </w:r>
      <w:r w:rsidR="00A460ED" w:rsidRPr="006139D1">
        <w:rPr>
          <w:sz w:val="24"/>
          <w:szCs w:val="24"/>
        </w:rPr>
        <w:t xml:space="preserve">to the LGPS </w:t>
      </w:r>
      <w:r w:rsidRPr="006139D1">
        <w:rPr>
          <w:sz w:val="24"/>
          <w:szCs w:val="24"/>
        </w:rPr>
        <w:t xml:space="preserve">then this may affect their </w:t>
      </w:r>
      <w:r w:rsidR="00A460ED" w:rsidRPr="006139D1">
        <w:rPr>
          <w:sz w:val="24"/>
          <w:szCs w:val="24"/>
        </w:rPr>
        <w:t xml:space="preserve">ability to provide the </w:t>
      </w:r>
      <w:r w:rsidRPr="006139D1">
        <w:rPr>
          <w:sz w:val="24"/>
          <w:szCs w:val="24"/>
        </w:rPr>
        <w:t>local services</w:t>
      </w:r>
      <w:r w:rsidR="0075349A" w:rsidRPr="006139D1">
        <w:rPr>
          <w:sz w:val="24"/>
          <w:szCs w:val="24"/>
        </w:rPr>
        <w:t xml:space="preserve"> at a reasonable cost</w:t>
      </w:r>
      <w:r w:rsidRPr="006139D1">
        <w:rPr>
          <w:sz w:val="24"/>
          <w:szCs w:val="24"/>
        </w:rPr>
        <w:t>.</w:t>
      </w:r>
    </w:p>
    <w:p w14:paraId="397BFF32" w14:textId="77777777" w:rsidR="009B7C3E" w:rsidRPr="006139D1" w:rsidRDefault="009B7C3E" w:rsidP="009B7C3E">
      <w:pPr>
        <w:pStyle w:val="BodyTextGrey"/>
        <w:rPr>
          <w:sz w:val="24"/>
          <w:szCs w:val="24"/>
        </w:rPr>
      </w:pPr>
      <w:r w:rsidRPr="006139D1">
        <w:rPr>
          <w:sz w:val="24"/>
          <w:szCs w:val="24"/>
        </w:rPr>
        <w:t>Whilst all this is true, it should also be borne in mind that:</w:t>
      </w:r>
    </w:p>
    <w:p w14:paraId="64F9F5AE" w14:textId="77777777" w:rsidR="009B7C3E" w:rsidRPr="006139D1" w:rsidRDefault="009B7C3E" w:rsidP="00C728B0">
      <w:pPr>
        <w:pStyle w:val="BulletHymans"/>
        <w:numPr>
          <w:ilvl w:val="0"/>
          <w:numId w:val="57"/>
        </w:numPr>
        <w:ind w:left="567" w:hanging="567"/>
        <w:rPr>
          <w:sz w:val="24"/>
          <w:szCs w:val="24"/>
        </w:rPr>
      </w:pPr>
      <w:r w:rsidRPr="006139D1">
        <w:rPr>
          <w:sz w:val="24"/>
          <w:szCs w:val="24"/>
        </w:rPr>
        <w:lastRenderedPageBreak/>
        <w:t>The Fund provides invaluable financial security to local families, whether to those who formerly worked in the service of the local community who have now retired, or to their families after their death;</w:t>
      </w:r>
    </w:p>
    <w:p w14:paraId="64531037" w14:textId="77777777" w:rsidR="009B7C3E" w:rsidRPr="006139D1" w:rsidRDefault="009B7C3E" w:rsidP="00C728B0">
      <w:pPr>
        <w:pStyle w:val="BulletHymans"/>
        <w:numPr>
          <w:ilvl w:val="0"/>
          <w:numId w:val="57"/>
        </w:numPr>
        <w:ind w:left="567" w:hanging="567"/>
        <w:rPr>
          <w:sz w:val="24"/>
          <w:szCs w:val="24"/>
        </w:rPr>
      </w:pPr>
      <w:r w:rsidRPr="006139D1">
        <w:rPr>
          <w:sz w:val="24"/>
          <w:szCs w:val="24"/>
        </w:rPr>
        <w:t xml:space="preserve">The Fund must have the assets available to meet these retirement and death benefits, which in turn means that the various employers must each pay their own way. </w:t>
      </w:r>
      <w:r w:rsidR="00BF5F69" w:rsidRPr="006139D1">
        <w:rPr>
          <w:sz w:val="24"/>
          <w:szCs w:val="24"/>
        </w:rPr>
        <w:t xml:space="preserve"> </w:t>
      </w:r>
      <w:r w:rsidRPr="006139D1">
        <w:rPr>
          <w:sz w:val="24"/>
          <w:szCs w:val="24"/>
        </w:rPr>
        <w:t>Lower contributions today will mean higher contributions tomorrow</w:t>
      </w:r>
      <w:r w:rsidR="0030410E" w:rsidRPr="006139D1">
        <w:rPr>
          <w:sz w:val="24"/>
          <w:szCs w:val="24"/>
        </w:rPr>
        <w:t>:</w:t>
      </w:r>
      <w:r w:rsidRPr="006139D1">
        <w:rPr>
          <w:sz w:val="24"/>
          <w:szCs w:val="24"/>
        </w:rPr>
        <w:t xml:space="preserve"> deferring payments does not alter the employer’s ultimate obligation to the Fund</w:t>
      </w:r>
      <w:r w:rsidR="0030410E" w:rsidRPr="006139D1">
        <w:rPr>
          <w:sz w:val="24"/>
          <w:szCs w:val="24"/>
        </w:rPr>
        <w:t xml:space="preserve"> in respect of its current and former employees</w:t>
      </w:r>
      <w:r w:rsidRPr="006139D1">
        <w:rPr>
          <w:sz w:val="24"/>
          <w:szCs w:val="24"/>
        </w:rPr>
        <w:t>;</w:t>
      </w:r>
    </w:p>
    <w:p w14:paraId="61A1FF6C" w14:textId="77777777" w:rsidR="001D3B9D" w:rsidRPr="006139D1" w:rsidRDefault="009B7C3E" w:rsidP="00C728B0">
      <w:pPr>
        <w:pStyle w:val="BulletHymans"/>
        <w:numPr>
          <w:ilvl w:val="0"/>
          <w:numId w:val="57"/>
        </w:numPr>
        <w:ind w:left="567" w:hanging="567"/>
        <w:rPr>
          <w:sz w:val="24"/>
          <w:szCs w:val="24"/>
        </w:rPr>
      </w:pPr>
      <w:r w:rsidRPr="006139D1">
        <w:rPr>
          <w:sz w:val="24"/>
          <w:szCs w:val="24"/>
        </w:rPr>
        <w:t>Each employer will generally only pay for its own employees and ex-employees (and their dependants), not for those of other employers in the Fund;</w:t>
      </w:r>
    </w:p>
    <w:p w14:paraId="1ED0AC3A" w14:textId="06CC9D28" w:rsidR="00556D4F" w:rsidRPr="006139D1" w:rsidRDefault="00556D4F" w:rsidP="00C728B0">
      <w:pPr>
        <w:pStyle w:val="BulletHymans"/>
        <w:numPr>
          <w:ilvl w:val="0"/>
          <w:numId w:val="57"/>
        </w:numPr>
        <w:ind w:left="567" w:hanging="567"/>
        <w:rPr>
          <w:sz w:val="24"/>
          <w:szCs w:val="24"/>
        </w:rPr>
      </w:pPr>
      <w:r w:rsidRPr="006139D1">
        <w:rPr>
          <w:sz w:val="24"/>
          <w:szCs w:val="24"/>
        </w:rPr>
        <w:t xml:space="preserve">The Fund strives to maintain reasonably </w:t>
      </w:r>
      <w:r w:rsidR="00A460ED" w:rsidRPr="006139D1">
        <w:rPr>
          <w:sz w:val="24"/>
          <w:szCs w:val="24"/>
        </w:rPr>
        <w:t xml:space="preserve">stable employer </w:t>
      </w:r>
      <w:r w:rsidRPr="006139D1">
        <w:rPr>
          <w:sz w:val="24"/>
          <w:szCs w:val="24"/>
        </w:rPr>
        <w:t xml:space="preserve">contribution rates </w:t>
      </w:r>
      <w:r w:rsidR="0030410E" w:rsidRPr="006139D1">
        <w:rPr>
          <w:sz w:val="24"/>
          <w:szCs w:val="24"/>
        </w:rPr>
        <w:t xml:space="preserve">where appropriate and </w:t>
      </w:r>
      <w:r w:rsidRPr="006139D1">
        <w:rPr>
          <w:sz w:val="24"/>
          <w:szCs w:val="24"/>
        </w:rPr>
        <w:t>possible</w:t>
      </w:r>
      <w:r w:rsidR="0075349A" w:rsidRPr="006139D1">
        <w:rPr>
          <w:sz w:val="24"/>
          <w:szCs w:val="24"/>
        </w:rPr>
        <w:t xml:space="preserve">. However, a recent shift in regulatory focus means that solvency within each generation is considered </w:t>
      </w:r>
      <w:r w:rsidR="001B5DBD" w:rsidRPr="006139D1">
        <w:rPr>
          <w:sz w:val="24"/>
          <w:szCs w:val="24"/>
        </w:rPr>
        <w:t xml:space="preserve">by the Government to be a higher priority than </w:t>
      </w:r>
      <w:r w:rsidR="0075349A" w:rsidRPr="006139D1">
        <w:rPr>
          <w:sz w:val="24"/>
          <w:szCs w:val="24"/>
        </w:rPr>
        <w:t>stability of contribution rates</w:t>
      </w:r>
      <w:r w:rsidRPr="006139D1">
        <w:rPr>
          <w:sz w:val="24"/>
          <w:szCs w:val="24"/>
        </w:rPr>
        <w:t>;</w:t>
      </w:r>
    </w:p>
    <w:p w14:paraId="466BE651" w14:textId="77777777" w:rsidR="009B7C3E" w:rsidRPr="006139D1" w:rsidRDefault="009B7C3E" w:rsidP="00C728B0">
      <w:pPr>
        <w:pStyle w:val="BulletHymans"/>
        <w:numPr>
          <w:ilvl w:val="0"/>
          <w:numId w:val="57"/>
        </w:numPr>
        <w:ind w:left="567" w:hanging="567"/>
        <w:rPr>
          <w:sz w:val="24"/>
          <w:szCs w:val="24"/>
        </w:rPr>
      </w:pPr>
      <w:r w:rsidRPr="006139D1">
        <w:rPr>
          <w:sz w:val="24"/>
          <w:szCs w:val="24"/>
        </w:rPr>
        <w:t xml:space="preserve">The Fund wishes to avoid the situation where an employer falls so far behind in </w:t>
      </w:r>
      <w:r w:rsidR="0054303C" w:rsidRPr="006139D1">
        <w:rPr>
          <w:sz w:val="24"/>
          <w:szCs w:val="24"/>
        </w:rPr>
        <w:t xml:space="preserve">managing its funding shortfall </w:t>
      </w:r>
      <w:r w:rsidRPr="006139D1">
        <w:rPr>
          <w:sz w:val="24"/>
          <w:szCs w:val="24"/>
        </w:rPr>
        <w:t>that its deficit becomes unmanageable in practice: such a situation may lead to employer insolvency and the resulting deficit falling on the other Fund employers. In that situation, those employers’ services w</w:t>
      </w:r>
      <w:r w:rsidR="00556D4F" w:rsidRPr="006139D1">
        <w:rPr>
          <w:sz w:val="24"/>
          <w:szCs w:val="24"/>
        </w:rPr>
        <w:t>ould in turn suffer as a result;</w:t>
      </w:r>
    </w:p>
    <w:p w14:paraId="346F8293" w14:textId="77777777" w:rsidR="00556D4F" w:rsidRPr="006139D1" w:rsidRDefault="00556D4F" w:rsidP="00C728B0">
      <w:pPr>
        <w:pStyle w:val="BulletHymans"/>
        <w:numPr>
          <w:ilvl w:val="0"/>
          <w:numId w:val="57"/>
        </w:numPr>
        <w:ind w:left="567" w:hanging="567"/>
        <w:rPr>
          <w:sz w:val="24"/>
          <w:szCs w:val="24"/>
        </w:rPr>
      </w:pPr>
      <w:r w:rsidRPr="006139D1">
        <w:rPr>
          <w:sz w:val="24"/>
          <w:szCs w:val="24"/>
        </w:rPr>
        <w:t xml:space="preserve">Council contributions to the Fund should be at a suitable level, to protect the interests of different generations of council tax payers. For instance, underpayment of contributions for some years will need to be balanced by overpayment in other years; the council will wish to minimise the extent to which council tax payers in one period are in effect benefitting at the expense of those paying in a different period. </w:t>
      </w:r>
    </w:p>
    <w:p w14:paraId="03A4656D" w14:textId="77777777" w:rsidR="00EB0FE2" w:rsidRPr="006139D1" w:rsidRDefault="009B7C3E" w:rsidP="00EB0FE2">
      <w:pPr>
        <w:pStyle w:val="BodyTextGrey"/>
        <w:rPr>
          <w:sz w:val="24"/>
          <w:szCs w:val="24"/>
        </w:rPr>
      </w:pPr>
      <w:r w:rsidRPr="006139D1">
        <w:rPr>
          <w:sz w:val="24"/>
          <w:szCs w:val="24"/>
        </w:rPr>
        <w:t xml:space="preserve">Overall, therefore, there is clearly a balance to be struck between the Fund’s need for maintaining prudent funding levels, and the employers’ need to allocate their resources appropriately. </w:t>
      </w:r>
      <w:r w:rsidR="00BF5F69" w:rsidRPr="006139D1">
        <w:rPr>
          <w:sz w:val="24"/>
          <w:szCs w:val="24"/>
        </w:rPr>
        <w:t xml:space="preserve"> </w:t>
      </w:r>
      <w:r w:rsidRPr="006139D1">
        <w:rPr>
          <w:sz w:val="24"/>
          <w:szCs w:val="24"/>
        </w:rPr>
        <w:t xml:space="preserve">The Fund achieves this through </w:t>
      </w:r>
      <w:r w:rsidR="009B6761" w:rsidRPr="006139D1">
        <w:rPr>
          <w:sz w:val="24"/>
          <w:szCs w:val="24"/>
        </w:rPr>
        <w:t xml:space="preserve">various techniques which </w:t>
      </w:r>
      <w:r w:rsidR="0030410E" w:rsidRPr="006139D1">
        <w:rPr>
          <w:sz w:val="24"/>
          <w:szCs w:val="24"/>
        </w:rPr>
        <w:t xml:space="preserve">affect </w:t>
      </w:r>
      <w:r w:rsidR="009B6761" w:rsidRPr="006139D1">
        <w:rPr>
          <w:sz w:val="24"/>
          <w:szCs w:val="24"/>
        </w:rPr>
        <w:t xml:space="preserve">contribution increases to various degrees (see </w:t>
      </w:r>
      <w:hyperlink w:anchor="GeneralComments3_1" w:history="1">
        <w:r w:rsidR="009B6761" w:rsidRPr="006139D1">
          <w:rPr>
            <w:rStyle w:val="Hyperlink"/>
            <w:sz w:val="24"/>
            <w:szCs w:val="24"/>
          </w:rPr>
          <w:t>3.1</w:t>
        </w:r>
      </w:hyperlink>
      <w:r w:rsidR="009B6761" w:rsidRPr="006139D1">
        <w:rPr>
          <w:sz w:val="24"/>
          <w:szCs w:val="24"/>
        </w:rPr>
        <w:t>).</w:t>
      </w:r>
      <w:r w:rsidR="0020529A" w:rsidRPr="006139D1">
        <w:rPr>
          <w:sz w:val="24"/>
          <w:szCs w:val="24"/>
        </w:rPr>
        <w:t xml:space="preserve"> </w:t>
      </w:r>
      <w:r w:rsidR="009B6761" w:rsidRPr="006139D1">
        <w:rPr>
          <w:sz w:val="24"/>
          <w:szCs w:val="24"/>
        </w:rPr>
        <w:t xml:space="preserve"> </w:t>
      </w:r>
      <w:r w:rsidR="00EB0FE2" w:rsidRPr="006139D1">
        <w:rPr>
          <w:sz w:val="24"/>
          <w:szCs w:val="24"/>
        </w:rPr>
        <w:t>In deciding which of these techniques to apply to any given employer, the Administering Authority takes a view on the financial standing of the employer, i.e. its ability to meet its funding commitments and the relevant time horizon.</w:t>
      </w:r>
    </w:p>
    <w:p w14:paraId="54D3AB89" w14:textId="77777777" w:rsidR="00EB0FE2" w:rsidRPr="006139D1" w:rsidRDefault="00EB0FE2" w:rsidP="00EB0FE2">
      <w:pPr>
        <w:pStyle w:val="BodyTextGrey"/>
        <w:rPr>
          <w:sz w:val="24"/>
          <w:szCs w:val="24"/>
        </w:rPr>
      </w:pPr>
      <w:r w:rsidRPr="006139D1">
        <w:rPr>
          <w:sz w:val="24"/>
          <w:szCs w:val="24"/>
        </w:rPr>
        <w:t xml:space="preserve">The Administering Authority will consider a risk assessment of that employer using a knowledge base which is regularly monitored and kept up-to-date.  This database will include such information as the type of employer, its membership profile and funding position, any guarantors or security provision, material changes anticipated, etc.  </w:t>
      </w:r>
    </w:p>
    <w:p w14:paraId="3DE27B2E" w14:textId="1DABF708" w:rsidR="00EB0FE2" w:rsidRPr="006139D1" w:rsidRDefault="00EB0FE2" w:rsidP="00EB0FE2">
      <w:pPr>
        <w:pStyle w:val="BodyTextGrey"/>
        <w:rPr>
          <w:sz w:val="24"/>
          <w:szCs w:val="24"/>
        </w:rPr>
      </w:pPr>
      <w:r w:rsidRPr="006139D1">
        <w:rPr>
          <w:sz w:val="24"/>
          <w:szCs w:val="24"/>
        </w:rPr>
        <w:t>For instance, where the Administering Authority has reasonable confidence that an employer will be able to meet its funding commitments, then the Fund will permit options such as stabilisation</w:t>
      </w:r>
      <w:r w:rsidR="001B5DBD" w:rsidRPr="006139D1">
        <w:rPr>
          <w:sz w:val="24"/>
          <w:szCs w:val="24"/>
        </w:rPr>
        <w:t xml:space="preserve"> (</w:t>
      </w:r>
      <w:hyperlink w:anchor="Noteb" w:history="1">
        <w:r w:rsidR="001B5DBD" w:rsidRPr="006139D1">
          <w:rPr>
            <w:rStyle w:val="Hyperlink"/>
            <w:sz w:val="24"/>
            <w:szCs w:val="24"/>
          </w:rPr>
          <w:t>see 3.3 Note (b)</w:t>
        </w:r>
      </w:hyperlink>
      <w:r w:rsidR="001B5DBD" w:rsidRPr="006139D1">
        <w:rPr>
          <w:sz w:val="24"/>
          <w:szCs w:val="24"/>
        </w:rPr>
        <w:t>)</w:t>
      </w:r>
      <w:r w:rsidR="00963DE1" w:rsidRPr="006139D1">
        <w:rPr>
          <w:sz w:val="24"/>
          <w:szCs w:val="24"/>
        </w:rPr>
        <w:t>,</w:t>
      </w:r>
      <w:r w:rsidR="009B6761" w:rsidRPr="006139D1">
        <w:rPr>
          <w:sz w:val="24"/>
          <w:szCs w:val="24"/>
        </w:rPr>
        <w:t xml:space="preserve"> </w:t>
      </w:r>
      <w:r w:rsidRPr="006139D1">
        <w:rPr>
          <w:sz w:val="24"/>
          <w:szCs w:val="24"/>
        </w:rPr>
        <w:t xml:space="preserve">a longer time horizon relative to other employers, and/or a lower </w:t>
      </w:r>
      <w:r w:rsidR="00682216" w:rsidRPr="006139D1">
        <w:rPr>
          <w:sz w:val="24"/>
          <w:szCs w:val="24"/>
        </w:rPr>
        <w:t xml:space="preserve"> likelihood</w:t>
      </w:r>
      <w:r w:rsidRPr="006139D1">
        <w:rPr>
          <w:sz w:val="24"/>
          <w:szCs w:val="24"/>
        </w:rPr>
        <w:t xml:space="preserve"> of achieving their funding target. Such options will temporarily produce lower contribution levels than would otherwise have applied.  This is permitted in the expectation that the employer will still be able to meet its obligations for many years to come.</w:t>
      </w:r>
    </w:p>
    <w:p w14:paraId="349C6B01" w14:textId="15D8593E" w:rsidR="00EB0FE2" w:rsidRPr="006139D1" w:rsidRDefault="00EB0FE2" w:rsidP="00EB0FE2">
      <w:pPr>
        <w:pStyle w:val="BodyTextGrey"/>
        <w:rPr>
          <w:sz w:val="24"/>
          <w:szCs w:val="24"/>
        </w:rPr>
      </w:pPr>
      <w:r w:rsidRPr="006139D1">
        <w:rPr>
          <w:sz w:val="24"/>
          <w:szCs w:val="24"/>
        </w:rPr>
        <w:t xml:space="preserve">On the other hand, where there is doubt that an employer will be able to meet its funding commitments or withstand a significant change in its commitments, then a higher funding target, and/or a shorter </w:t>
      </w:r>
      <w:r w:rsidR="00095DBE" w:rsidRPr="006139D1">
        <w:rPr>
          <w:sz w:val="24"/>
          <w:szCs w:val="24"/>
        </w:rPr>
        <w:t xml:space="preserve"> time horizon</w:t>
      </w:r>
      <w:r w:rsidRPr="006139D1">
        <w:rPr>
          <w:sz w:val="24"/>
          <w:szCs w:val="24"/>
        </w:rPr>
        <w:t xml:space="preserve"> relative to other employers, and/or a higher </w:t>
      </w:r>
      <w:r w:rsidR="00095DBE" w:rsidRPr="006139D1">
        <w:rPr>
          <w:sz w:val="24"/>
          <w:szCs w:val="24"/>
        </w:rPr>
        <w:t xml:space="preserve"> likelihood</w:t>
      </w:r>
      <w:r w:rsidRPr="006139D1">
        <w:rPr>
          <w:sz w:val="24"/>
          <w:szCs w:val="24"/>
        </w:rPr>
        <w:t xml:space="preserve"> of achieving the target may be required.</w:t>
      </w:r>
    </w:p>
    <w:p w14:paraId="3A0BC669" w14:textId="5DF07D4C" w:rsidR="00433827" w:rsidRPr="006139D1" w:rsidRDefault="009B6761" w:rsidP="009B7C3E">
      <w:pPr>
        <w:pStyle w:val="BodyTextGrey"/>
        <w:rPr>
          <w:sz w:val="24"/>
          <w:szCs w:val="24"/>
        </w:rPr>
      </w:pPr>
      <w:r w:rsidRPr="006139D1">
        <w:rPr>
          <w:sz w:val="24"/>
          <w:szCs w:val="24"/>
        </w:rPr>
        <w:lastRenderedPageBreak/>
        <w:t xml:space="preserve">The Fund actively seeks employer input, including to its funding arrangements, through various means: see </w:t>
      </w:r>
      <w:hyperlink w:anchor="AppendixA" w:history="1">
        <w:r w:rsidRPr="006139D1">
          <w:rPr>
            <w:rStyle w:val="Hyperlink"/>
            <w:sz w:val="24"/>
            <w:szCs w:val="24"/>
          </w:rPr>
          <w:t>Appendix A</w:t>
        </w:r>
      </w:hyperlink>
      <w:r w:rsidRPr="006139D1">
        <w:rPr>
          <w:sz w:val="24"/>
          <w:szCs w:val="24"/>
        </w:rPr>
        <w:t>.</w:t>
      </w:r>
      <w:r w:rsidR="00C5633C" w:rsidRPr="006139D1">
        <w:rPr>
          <w:sz w:val="24"/>
          <w:szCs w:val="24"/>
        </w:rPr>
        <w:t xml:space="preserve">  </w:t>
      </w:r>
    </w:p>
    <w:p w14:paraId="158CCF93" w14:textId="77777777" w:rsidR="00095DBE" w:rsidRPr="006139D1" w:rsidRDefault="00095DBE" w:rsidP="00095DBE">
      <w:pPr>
        <w:pStyle w:val="Heading2Num"/>
        <w:rPr>
          <w:sz w:val="24"/>
          <w:szCs w:val="24"/>
        </w:rPr>
      </w:pPr>
      <w:bookmarkStart w:id="9" w:name="_Toc16078789"/>
      <w:bookmarkStart w:id="10" w:name="_Ref16589965"/>
      <w:bookmarkStart w:id="11" w:name="_Ref16589966"/>
      <w:r w:rsidRPr="006139D1">
        <w:rPr>
          <w:sz w:val="24"/>
          <w:szCs w:val="24"/>
        </w:rPr>
        <w:t>What approach has the Fund taken to dealing with uncertainty arising from the McCloud court case and its potential impact on the LGPS benefit structure?</w:t>
      </w:r>
      <w:bookmarkEnd w:id="9"/>
      <w:bookmarkEnd w:id="10"/>
      <w:bookmarkEnd w:id="11"/>
    </w:p>
    <w:p w14:paraId="5603E808" w14:textId="2A3AB259" w:rsidR="00095DBE" w:rsidRPr="002F7970" w:rsidRDefault="00095DBE" w:rsidP="00095DBE">
      <w:pPr>
        <w:pStyle w:val="BulletHymans"/>
        <w:spacing w:after="120" w:line="280" w:lineRule="atLeast"/>
        <w:rPr>
          <w:sz w:val="24"/>
          <w:szCs w:val="24"/>
        </w:rPr>
      </w:pPr>
      <w:r w:rsidRPr="006139D1">
        <w:rPr>
          <w:sz w:val="24"/>
          <w:szCs w:val="24"/>
        </w:rPr>
        <w:t xml:space="preserve">The LGPS benefit structure from 1 April 2014 is currently under review following the Government’s loss of the right to appeal the McCloud and other similar court cases. The courts have ruled that the ‘transitional protections’ awarded to some members of public service pension schemes when the schemes were reformed (on 1 April 2014 in the case of the LGPS) were unlawful on the grounds of age discrimination.  </w:t>
      </w:r>
      <w:r w:rsidRPr="002F7970">
        <w:rPr>
          <w:sz w:val="24"/>
          <w:szCs w:val="24"/>
        </w:rPr>
        <w:t xml:space="preserve">At the time of </w:t>
      </w:r>
      <w:r w:rsidR="0055488B" w:rsidRPr="002F7970">
        <w:rPr>
          <w:sz w:val="24"/>
          <w:szCs w:val="24"/>
        </w:rPr>
        <w:t>carrying out the 31 March 2019 formal actuarial valuation</w:t>
      </w:r>
      <w:r w:rsidRPr="002F7970">
        <w:rPr>
          <w:sz w:val="24"/>
          <w:szCs w:val="24"/>
        </w:rPr>
        <w:t>, the Ministry of Housing, Communities and Local Government (MHCLG) ha</w:t>
      </w:r>
      <w:r w:rsidR="00A83933" w:rsidRPr="002F7970">
        <w:rPr>
          <w:sz w:val="24"/>
          <w:szCs w:val="24"/>
        </w:rPr>
        <w:t>d</w:t>
      </w:r>
      <w:r w:rsidRPr="002F7970">
        <w:rPr>
          <w:sz w:val="24"/>
          <w:szCs w:val="24"/>
        </w:rPr>
        <w:t xml:space="preserve"> not provided any details of changes as a result of the case. However</w:t>
      </w:r>
      <w:r w:rsidR="005E7992" w:rsidRPr="002F7970">
        <w:rPr>
          <w:sz w:val="24"/>
          <w:szCs w:val="24"/>
        </w:rPr>
        <w:t>,</w:t>
      </w:r>
      <w:r w:rsidRPr="002F7970">
        <w:rPr>
          <w:sz w:val="24"/>
          <w:szCs w:val="24"/>
        </w:rPr>
        <w:t xml:space="preserve"> it </w:t>
      </w:r>
      <w:r w:rsidR="00D76B55" w:rsidRPr="002F7970">
        <w:rPr>
          <w:sz w:val="24"/>
          <w:szCs w:val="24"/>
        </w:rPr>
        <w:t>wa</w:t>
      </w:r>
      <w:r w:rsidRPr="002F7970">
        <w:rPr>
          <w:sz w:val="24"/>
          <w:szCs w:val="24"/>
        </w:rPr>
        <w:t xml:space="preserve">s expected that benefits changes will be </w:t>
      </w:r>
      <w:proofErr w:type="gramStart"/>
      <w:r w:rsidRPr="002F7970">
        <w:rPr>
          <w:sz w:val="24"/>
          <w:szCs w:val="24"/>
        </w:rPr>
        <w:t>required</w:t>
      </w:r>
      <w:proofErr w:type="gramEnd"/>
      <w:r w:rsidRPr="002F7970">
        <w:rPr>
          <w:sz w:val="24"/>
          <w:szCs w:val="24"/>
        </w:rPr>
        <w:t xml:space="preserve"> and they w</w:t>
      </w:r>
      <w:r w:rsidR="00F4672E" w:rsidRPr="002F7970">
        <w:rPr>
          <w:sz w:val="24"/>
          <w:szCs w:val="24"/>
        </w:rPr>
        <w:t>ould</w:t>
      </w:r>
      <w:r w:rsidRPr="002F7970">
        <w:rPr>
          <w:sz w:val="24"/>
          <w:szCs w:val="24"/>
        </w:rPr>
        <w:t xml:space="preserve"> likely increase the value of liabilities. At </w:t>
      </w:r>
      <w:r w:rsidR="00956B15" w:rsidRPr="002F7970">
        <w:rPr>
          <w:sz w:val="24"/>
          <w:szCs w:val="24"/>
        </w:rPr>
        <w:t>that time</w:t>
      </w:r>
      <w:r w:rsidRPr="002F7970">
        <w:rPr>
          <w:sz w:val="24"/>
          <w:szCs w:val="24"/>
        </w:rPr>
        <w:t xml:space="preserve">, the scale and nature of any increase in liabilities </w:t>
      </w:r>
      <w:r w:rsidR="00DC3AF5" w:rsidRPr="002F7970">
        <w:rPr>
          <w:sz w:val="24"/>
          <w:szCs w:val="24"/>
        </w:rPr>
        <w:t>were</w:t>
      </w:r>
      <w:r w:rsidRPr="002F7970">
        <w:rPr>
          <w:sz w:val="24"/>
          <w:szCs w:val="24"/>
        </w:rPr>
        <w:t xml:space="preserve"> unknown, which limit</w:t>
      </w:r>
      <w:r w:rsidR="00D403D7" w:rsidRPr="002F7970">
        <w:rPr>
          <w:sz w:val="24"/>
          <w:szCs w:val="24"/>
        </w:rPr>
        <w:t>ed</w:t>
      </w:r>
      <w:r w:rsidRPr="002F7970">
        <w:rPr>
          <w:sz w:val="24"/>
          <w:szCs w:val="24"/>
        </w:rPr>
        <w:t xml:space="preserve"> the ability of the Fund to make an accurate allowance.  </w:t>
      </w:r>
    </w:p>
    <w:p w14:paraId="6EE96C7F" w14:textId="28D8BA67" w:rsidR="00095DBE" w:rsidRPr="002F7970" w:rsidRDefault="002F7970" w:rsidP="00095DBE">
      <w:pPr>
        <w:rPr>
          <w:rStyle w:val="Hyperlink"/>
          <w:rFonts w:ascii="Calibri" w:hAnsi="Calibri" w:cs="Calibri"/>
          <w:sz w:val="24"/>
          <w:szCs w:val="24"/>
        </w:rPr>
      </w:pPr>
      <w:hyperlink r:id="rId19" w:history="1">
        <w:r w:rsidR="00095DBE" w:rsidRPr="002F7970">
          <w:rPr>
            <w:rStyle w:val="Hyperlink"/>
            <w:sz w:val="24"/>
            <w:szCs w:val="24"/>
          </w:rPr>
          <w:t>The LGPS Scheme Advisory Board (SAB) issued advice to LGPS funds in May 2019</w:t>
        </w:r>
      </w:hyperlink>
      <w:r w:rsidR="00095DBE" w:rsidRPr="002F7970">
        <w:rPr>
          <w:color w:val="4B4B4B"/>
          <w:sz w:val="24"/>
          <w:szCs w:val="24"/>
        </w:rPr>
        <w:t>.  As there was no finalised outcome of the McCloud case by 31 August 2019, the Fund Actuary acted in line with SAB’s advice and valued all member benefits in line with the current LGPS Regulations.</w:t>
      </w:r>
    </w:p>
    <w:p w14:paraId="0BF42C11" w14:textId="77777777" w:rsidR="00095DBE" w:rsidRPr="002F7970" w:rsidRDefault="00095DBE" w:rsidP="00095DBE">
      <w:pPr>
        <w:rPr>
          <w:rStyle w:val="Hyperlink"/>
          <w:sz w:val="24"/>
          <w:szCs w:val="24"/>
        </w:rPr>
      </w:pPr>
    </w:p>
    <w:p w14:paraId="314B3941" w14:textId="7ADF6F7B" w:rsidR="00095DBE" w:rsidRPr="002F7970" w:rsidRDefault="00095DBE" w:rsidP="00095DBE">
      <w:pPr>
        <w:rPr>
          <w:color w:val="4B4B4B"/>
          <w:sz w:val="24"/>
          <w:szCs w:val="24"/>
        </w:rPr>
      </w:pPr>
      <w:r w:rsidRPr="002F7970">
        <w:rPr>
          <w:color w:val="4B4B4B"/>
          <w:sz w:val="24"/>
          <w:szCs w:val="24"/>
        </w:rPr>
        <w:t xml:space="preserve">The Fund, in line with the advice in the SAB’s note, considered how to allow for this risk in the setting of employer contribution rates. </w:t>
      </w:r>
      <w:r w:rsidR="00A36AD9" w:rsidRPr="002F7970">
        <w:rPr>
          <w:color w:val="4B4B4B"/>
          <w:sz w:val="24"/>
          <w:szCs w:val="24"/>
        </w:rPr>
        <w:t>As the benefit structure changes that w</w:t>
      </w:r>
      <w:r w:rsidR="00970014" w:rsidRPr="002F7970">
        <w:rPr>
          <w:color w:val="4B4B4B"/>
          <w:sz w:val="24"/>
          <w:szCs w:val="24"/>
        </w:rPr>
        <w:t>ould</w:t>
      </w:r>
      <w:r w:rsidR="00A36AD9" w:rsidRPr="002F7970">
        <w:rPr>
          <w:color w:val="4B4B4B"/>
          <w:sz w:val="24"/>
          <w:szCs w:val="24"/>
        </w:rPr>
        <w:t xml:space="preserve"> arise from the McCloud judgement </w:t>
      </w:r>
      <w:r w:rsidR="00970014" w:rsidRPr="002F7970">
        <w:rPr>
          <w:color w:val="4B4B4B"/>
          <w:sz w:val="24"/>
          <w:szCs w:val="24"/>
        </w:rPr>
        <w:t>we</w:t>
      </w:r>
      <w:r w:rsidR="00A36AD9" w:rsidRPr="002F7970">
        <w:rPr>
          <w:color w:val="4B4B4B"/>
          <w:sz w:val="24"/>
          <w:szCs w:val="24"/>
        </w:rPr>
        <w:t>re uncertain, the Fund elect</w:t>
      </w:r>
      <w:r w:rsidR="007F7215" w:rsidRPr="002F7970">
        <w:rPr>
          <w:color w:val="4B4B4B"/>
          <w:sz w:val="24"/>
          <w:szCs w:val="24"/>
        </w:rPr>
        <w:t>ed</w:t>
      </w:r>
      <w:r w:rsidR="00A36AD9" w:rsidRPr="002F7970">
        <w:rPr>
          <w:color w:val="4B4B4B"/>
          <w:sz w:val="24"/>
          <w:szCs w:val="24"/>
        </w:rPr>
        <w:t xml:space="preserve"> to allow for the potential impact in the assessment of employer contribution rates at the 2019 valuation by increasing the required likelihood of reaching the funding target.</w:t>
      </w:r>
    </w:p>
    <w:p w14:paraId="2DE04B7B" w14:textId="77777777" w:rsidR="00095DBE" w:rsidRPr="002F7970" w:rsidRDefault="00095DBE" w:rsidP="00095DBE">
      <w:pPr>
        <w:rPr>
          <w:color w:val="4B4B4B"/>
          <w:sz w:val="24"/>
          <w:szCs w:val="24"/>
        </w:rPr>
      </w:pPr>
    </w:p>
    <w:p w14:paraId="4BCE869C" w14:textId="2D91FDBD" w:rsidR="00095DBE" w:rsidRPr="002F7970" w:rsidRDefault="002B7011" w:rsidP="00095DBE">
      <w:pPr>
        <w:rPr>
          <w:color w:val="455560"/>
          <w:sz w:val="24"/>
          <w:szCs w:val="24"/>
          <w:lang w:eastAsia="en-US"/>
        </w:rPr>
      </w:pPr>
      <w:r w:rsidRPr="002F7970">
        <w:rPr>
          <w:color w:val="455560"/>
          <w:sz w:val="24"/>
          <w:szCs w:val="24"/>
          <w:lang w:eastAsia="en-US"/>
        </w:rPr>
        <w:t>T</w:t>
      </w:r>
      <w:r w:rsidR="00095DBE" w:rsidRPr="002F7970">
        <w:rPr>
          <w:color w:val="455560"/>
          <w:sz w:val="24"/>
          <w:szCs w:val="24"/>
          <w:lang w:eastAsia="en-US"/>
        </w:rPr>
        <w:t xml:space="preserve">he Fund </w:t>
      </w:r>
      <w:r w:rsidR="00684370" w:rsidRPr="002F7970">
        <w:rPr>
          <w:color w:val="455560"/>
          <w:sz w:val="24"/>
          <w:szCs w:val="24"/>
          <w:lang w:eastAsia="en-US"/>
        </w:rPr>
        <w:t>will</w:t>
      </w:r>
      <w:r w:rsidR="00095DBE" w:rsidRPr="002F7970">
        <w:rPr>
          <w:color w:val="455560"/>
          <w:sz w:val="24"/>
          <w:szCs w:val="24"/>
          <w:lang w:eastAsia="en-US"/>
        </w:rPr>
        <w:t xml:space="preserve"> </w:t>
      </w:r>
      <w:r w:rsidRPr="002F7970">
        <w:rPr>
          <w:color w:val="455560"/>
          <w:sz w:val="24"/>
          <w:szCs w:val="24"/>
          <w:lang w:eastAsia="en-US"/>
        </w:rPr>
        <w:t xml:space="preserve">include the impact </w:t>
      </w:r>
      <w:r w:rsidR="00EB56BA" w:rsidRPr="002F7970">
        <w:rPr>
          <w:color w:val="455560"/>
          <w:sz w:val="24"/>
          <w:szCs w:val="24"/>
          <w:lang w:eastAsia="en-US"/>
        </w:rPr>
        <w:t xml:space="preserve">of the McCloud case when reviewing </w:t>
      </w:r>
      <w:r w:rsidR="00095DBE" w:rsidRPr="002F7970">
        <w:rPr>
          <w:color w:val="455560"/>
          <w:sz w:val="24"/>
          <w:szCs w:val="24"/>
          <w:lang w:eastAsia="en-US"/>
        </w:rPr>
        <w:t xml:space="preserve">the contribution rates </w:t>
      </w:r>
      <w:r w:rsidR="00E13C75" w:rsidRPr="002F7970">
        <w:rPr>
          <w:color w:val="455560"/>
          <w:sz w:val="24"/>
          <w:szCs w:val="24"/>
          <w:lang w:eastAsia="en-US"/>
        </w:rPr>
        <w:t>at the 31 March 2022</w:t>
      </w:r>
      <w:r w:rsidR="00272C87" w:rsidRPr="002F7970">
        <w:rPr>
          <w:color w:val="455560"/>
          <w:sz w:val="24"/>
          <w:szCs w:val="24"/>
          <w:lang w:eastAsia="en-US"/>
        </w:rPr>
        <w:t xml:space="preserve"> formal actuarial valuation</w:t>
      </w:r>
      <w:r w:rsidR="00095DBE" w:rsidRPr="002F7970">
        <w:rPr>
          <w:color w:val="455560"/>
          <w:sz w:val="24"/>
          <w:szCs w:val="24"/>
          <w:lang w:eastAsia="en-US"/>
        </w:rPr>
        <w:t>.</w:t>
      </w:r>
    </w:p>
    <w:p w14:paraId="4D0EFD91" w14:textId="77777777" w:rsidR="00095DBE" w:rsidRPr="002F7970" w:rsidRDefault="00095DBE" w:rsidP="00095DBE">
      <w:pPr>
        <w:rPr>
          <w:color w:val="455560"/>
          <w:sz w:val="24"/>
          <w:szCs w:val="24"/>
          <w:lang w:eastAsia="en-US"/>
        </w:rPr>
      </w:pPr>
    </w:p>
    <w:p w14:paraId="532276EC" w14:textId="54C003AA" w:rsidR="00095DBE" w:rsidRPr="002F7970" w:rsidRDefault="00095DBE" w:rsidP="00095DBE">
      <w:pPr>
        <w:rPr>
          <w:color w:val="455560"/>
          <w:sz w:val="24"/>
          <w:szCs w:val="24"/>
          <w:lang w:eastAsia="en-US"/>
        </w:rPr>
      </w:pPr>
      <w:r w:rsidRPr="002F7970">
        <w:rPr>
          <w:color w:val="455560"/>
          <w:sz w:val="24"/>
          <w:szCs w:val="24"/>
          <w:lang w:eastAsia="en-US"/>
        </w:rPr>
        <w:t>The Fund also considered the McCloud judgement in its approach to cessation valuations. Please see note (j) to table 3.3 for further information.</w:t>
      </w:r>
    </w:p>
    <w:p w14:paraId="64B627EA" w14:textId="3B262967" w:rsidR="002D56FB" w:rsidRPr="002F7970" w:rsidRDefault="002D56FB" w:rsidP="00095DBE">
      <w:pPr>
        <w:rPr>
          <w:color w:val="455560"/>
          <w:sz w:val="24"/>
          <w:szCs w:val="24"/>
          <w:lang w:eastAsia="en-US"/>
        </w:rPr>
      </w:pPr>
    </w:p>
    <w:p w14:paraId="35B13B9B" w14:textId="7F0F6507" w:rsidR="009B79C6" w:rsidRPr="002F7970" w:rsidRDefault="009B79C6" w:rsidP="009B79C6">
      <w:pPr>
        <w:pStyle w:val="Heading2Num"/>
        <w:rPr>
          <w:sz w:val="24"/>
          <w:szCs w:val="24"/>
        </w:rPr>
      </w:pPr>
      <w:r w:rsidRPr="002F7970">
        <w:rPr>
          <w:sz w:val="24"/>
          <w:szCs w:val="24"/>
        </w:rPr>
        <w:t xml:space="preserve">What approach has the Fund taken to dealing with uncertainty arising from the Goodwin court case and its potential impact on the LGPS benefit structure? </w:t>
      </w:r>
    </w:p>
    <w:p w14:paraId="6B488A0A" w14:textId="77777777" w:rsidR="009B79C6" w:rsidRPr="002F7970" w:rsidRDefault="009B79C6" w:rsidP="009B79C6">
      <w:pPr>
        <w:rPr>
          <w:color w:val="455560"/>
          <w:sz w:val="24"/>
          <w:szCs w:val="24"/>
          <w:lang w:eastAsia="en-US"/>
        </w:rPr>
      </w:pPr>
    </w:p>
    <w:p w14:paraId="58E48E94" w14:textId="77777777" w:rsidR="009B79C6" w:rsidRPr="002F7970" w:rsidRDefault="009B79C6" w:rsidP="009B79C6">
      <w:pPr>
        <w:rPr>
          <w:color w:val="4B4B4B"/>
          <w:sz w:val="24"/>
          <w:szCs w:val="24"/>
        </w:rPr>
      </w:pPr>
      <w:r w:rsidRPr="002F7970">
        <w:rPr>
          <w:color w:val="4B4B4B"/>
          <w:sz w:val="24"/>
          <w:szCs w:val="24"/>
        </w:rPr>
        <w:t>The Goodwin tribunal was raised in the Teachers’ scheme.  It claimed members, or their survivors, were discriminated against due to their sexual orientation.  The claim was because the Teachers’ scheme provides a survivor’s pension which is less favourable for a widower or surviving male partner, than for a widow or surviving female partner of a female scheme member.  On 30 June 2020, the Tribunal found in favour of the claimant and agreed there was discrimination. This finding and remedy is expected to apply across all public service pension schemes, including the LGPS, however this is not certain and the details are not yet known.</w:t>
      </w:r>
    </w:p>
    <w:p w14:paraId="420F35C0" w14:textId="533EA1CD" w:rsidR="002D56FB" w:rsidRPr="009B79C6" w:rsidRDefault="009B79C6" w:rsidP="009B79C6">
      <w:pPr>
        <w:rPr>
          <w:color w:val="4B4B4B"/>
          <w:sz w:val="24"/>
          <w:szCs w:val="24"/>
        </w:rPr>
      </w:pPr>
      <w:r w:rsidRPr="002F7970">
        <w:rPr>
          <w:color w:val="4B4B4B"/>
          <w:sz w:val="24"/>
          <w:szCs w:val="24"/>
        </w:rPr>
        <w:t>The impact, if any, of the Goodwin case on Fund liabilities is expected to be small and will largely be an administrative issue.  In the absence of a resolution or any guidance to this case, no allowance has been made for this within the 2019 formal valuation.</w:t>
      </w:r>
    </w:p>
    <w:p w14:paraId="6C390E01" w14:textId="47493D10" w:rsidR="00095DBE" w:rsidRPr="006139D1" w:rsidRDefault="00095DBE" w:rsidP="00095DBE">
      <w:pPr>
        <w:rPr>
          <w:color w:val="4B4B4B"/>
          <w:sz w:val="24"/>
          <w:szCs w:val="24"/>
        </w:rPr>
      </w:pPr>
    </w:p>
    <w:p w14:paraId="63DB2722" w14:textId="77777777" w:rsidR="00095DBE" w:rsidRPr="006139D1" w:rsidRDefault="00095DBE" w:rsidP="00095DBE">
      <w:pPr>
        <w:pStyle w:val="Heading2Num"/>
        <w:rPr>
          <w:sz w:val="24"/>
          <w:szCs w:val="24"/>
        </w:rPr>
      </w:pPr>
      <w:bookmarkStart w:id="12" w:name="_Toc16078790"/>
      <w:r w:rsidRPr="006139D1">
        <w:rPr>
          <w:sz w:val="24"/>
          <w:szCs w:val="24"/>
        </w:rPr>
        <w:lastRenderedPageBreak/>
        <w:t>When will the next actuarial valuation be?</w:t>
      </w:r>
      <w:bookmarkEnd w:id="12"/>
    </w:p>
    <w:p w14:paraId="69793D68" w14:textId="77777777" w:rsidR="00095DBE" w:rsidRPr="006139D1" w:rsidRDefault="00095DBE" w:rsidP="00095DBE">
      <w:pPr>
        <w:pStyle w:val="BodyTextGrey"/>
        <w:rPr>
          <w:iCs w:val="0"/>
          <w:sz w:val="24"/>
          <w:szCs w:val="24"/>
        </w:rPr>
      </w:pPr>
      <w:r w:rsidRPr="006139D1">
        <w:rPr>
          <w:sz w:val="24"/>
          <w:szCs w:val="24"/>
        </w:rPr>
        <w:br/>
        <w:t xml:space="preserve">On 8 May 2019 MHCLG issued a </w:t>
      </w:r>
      <w:hyperlink r:id="rId20" w:history="1">
        <w:r w:rsidRPr="006139D1">
          <w:rPr>
            <w:rStyle w:val="Hyperlink"/>
            <w:sz w:val="24"/>
            <w:szCs w:val="24"/>
          </w:rPr>
          <w:t>consultation</w:t>
        </w:r>
      </w:hyperlink>
      <w:r w:rsidRPr="006139D1">
        <w:rPr>
          <w:sz w:val="24"/>
          <w:szCs w:val="24"/>
        </w:rPr>
        <w:t xml:space="preserve"> seeking views on (among other things) proposals to amend the LGPS valuation cycle in England and Wales from a three year (triennial) valuation cycle to a four year (quadrennial) valuation cycle. </w:t>
      </w:r>
    </w:p>
    <w:p w14:paraId="6B35BADC" w14:textId="77777777" w:rsidR="00095DBE" w:rsidRPr="006139D1" w:rsidRDefault="00095DBE" w:rsidP="00095DBE">
      <w:pPr>
        <w:pStyle w:val="BodyTextGrey"/>
        <w:rPr>
          <w:sz w:val="24"/>
          <w:szCs w:val="24"/>
        </w:rPr>
      </w:pPr>
      <w:r w:rsidRPr="006139D1">
        <w:rPr>
          <w:sz w:val="24"/>
          <w:szCs w:val="24"/>
        </w:rPr>
        <w:t xml:space="preserve">The Fund intends to carry out its next actuarial valuation in 2022 (3 years after the 2019 valuation date) in line with MHCLG’s desired approach in the consultation. The Fund has therefore instructed the Fund Actuary to certify contribution rates for employers for the period 1 April 2020 to 31 March 2023 as part of the 2019 valuation of the Fund. </w:t>
      </w:r>
    </w:p>
    <w:p w14:paraId="70C781E2" w14:textId="77777777" w:rsidR="0041091C" w:rsidRDefault="0041091C" w:rsidP="009B7C3E">
      <w:pPr>
        <w:pStyle w:val="BodyTextGrey"/>
      </w:pPr>
      <w:r>
        <w:br w:type="page"/>
      </w:r>
    </w:p>
    <w:p w14:paraId="30CEAFD7" w14:textId="77777777" w:rsidR="0041091C" w:rsidRDefault="0041091C" w:rsidP="0041091C">
      <w:pPr>
        <w:pStyle w:val="Heading1Num"/>
      </w:pPr>
      <w:bookmarkStart w:id="13" w:name="_Toc22839042"/>
      <w:bookmarkStart w:id="14" w:name="Section3"/>
      <w:r>
        <w:lastRenderedPageBreak/>
        <w:t>Calculating contributions for individual Employers</w:t>
      </w:r>
      <w:bookmarkEnd w:id="13"/>
    </w:p>
    <w:p w14:paraId="043CA4F3" w14:textId="77777777" w:rsidR="0041091C" w:rsidRPr="006139D1" w:rsidRDefault="0041091C" w:rsidP="0041091C">
      <w:pPr>
        <w:pStyle w:val="Heading2Num"/>
        <w:rPr>
          <w:sz w:val="24"/>
          <w:szCs w:val="24"/>
        </w:rPr>
      </w:pPr>
      <w:bookmarkStart w:id="15" w:name="GeneralComments3_1"/>
      <w:bookmarkEnd w:id="14"/>
      <w:r w:rsidRPr="006139D1">
        <w:rPr>
          <w:sz w:val="24"/>
          <w:szCs w:val="24"/>
        </w:rPr>
        <w:t>General comments</w:t>
      </w:r>
    </w:p>
    <w:bookmarkEnd w:id="15"/>
    <w:p w14:paraId="2590A996" w14:textId="77777777" w:rsidR="00423A6E" w:rsidRPr="006139D1" w:rsidRDefault="00BA6376" w:rsidP="00423A6E">
      <w:pPr>
        <w:pStyle w:val="BodyTextGrey"/>
        <w:rPr>
          <w:sz w:val="24"/>
          <w:szCs w:val="24"/>
        </w:rPr>
      </w:pPr>
      <w:r w:rsidRPr="006139D1">
        <w:rPr>
          <w:sz w:val="24"/>
          <w:szCs w:val="24"/>
        </w:rPr>
        <w:t xml:space="preserve">A key challenge for the Administering Authority is to balance the need for stable, affordable employer contributions with the requirement to take a prudent, longer-term view of funding and ensure the solvency of the Fund.  With this in mind, </w:t>
      </w:r>
      <w:r w:rsidR="00423A6E" w:rsidRPr="006139D1">
        <w:rPr>
          <w:sz w:val="24"/>
          <w:szCs w:val="24"/>
        </w:rPr>
        <w:t>the Fund’s three-step process identifies the key issues:</w:t>
      </w:r>
    </w:p>
    <w:p w14:paraId="39C6B8E2" w14:textId="1F38638B" w:rsidR="00423A6E" w:rsidRPr="006139D1" w:rsidRDefault="00423A6E" w:rsidP="00C728B0">
      <w:pPr>
        <w:pStyle w:val="BodyTextGrey"/>
        <w:numPr>
          <w:ilvl w:val="0"/>
          <w:numId w:val="55"/>
        </w:numPr>
        <w:rPr>
          <w:sz w:val="24"/>
          <w:szCs w:val="24"/>
        </w:rPr>
      </w:pPr>
      <w:r w:rsidRPr="006139D1">
        <w:rPr>
          <w:sz w:val="24"/>
          <w:szCs w:val="24"/>
        </w:rPr>
        <w:t xml:space="preserve">What is a suitably (but not overly) prudent funding target? </w:t>
      </w:r>
    </w:p>
    <w:p w14:paraId="17AF8454" w14:textId="514F7D53" w:rsidR="00423A6E" w:rsidRPr="006139D1" w:rsidRDefault="00423A6E" w:rsidP="00C728B0">
      <w:pPr>
        <w:pStyle w:val="BodyTextGrey"/>
        <w:numPr>
          <w:ilvl w:val="0"/>
          <w:numId w:val="55"/>
        </w:numPr>
        <w:rPr>
          <w:sz w:val="24"/>
          <w:szCs w:val="24"/>
        </w:rPr>
      </w:pPr>
      <w:r w:rsidRPr="006139D1">
        <w:rPr>
          <w:sz w:val="24"/>
          <w:szCs w:val="24"/>
        </w:rPr>
        <w:t>How long should the employer be permitted to reach that target? This should be realistic but not so long that the funding target is in danger of never actually being achieved.</w:t>
      </w:r>
    </w:p>
    <w:p w14:paraId="6F908ED6" w14:textId="7AB28FDF" w:rsidR="00BA6376" w:rsidRPr="006139D1" w:rsidRDefault="00423A6E" w:rsidP="00C728B0">
      <w:pPr>
        <w:pStyle w:val="BodyTextGrey"/>
        <w:numPr>
          <w:ilvl w:val="0"/>
          <w:numId w:val="55"/>
        </w:numPr>
        <w:rPr>
          <w:sz w:val="24"/>
          <w:szCs w:val="24"/>
        </w:rPr>
      </w:pPr>
      <w:r w:rsidRPr="006139D1">
        <w:rPr>
          <w:sz w:val="24"/>
          <w:szCs w:val="24"/>
        </w:rPr>
        <w:t>What</w:t>
      </w:r>
      <w:r w:rsidR="0094273F" w:rsidRPr="006139D1">
        <w:rPr>
          <w:sz w:val="24"/>
          <w:szCs w:val="24"/>
        </w:rPr>
        <w:t xml:space="preserve"> likelihood</w:t>
      </w:r>
      <w:r w:rsidRPr="006139D1">
        <w:rPr>
          <w:sz w:val="24"/>
          <w:szCs w:val="24"/>
        </w:rPr>
        <w:t xml:space="preserve"> is required to reach that funding target? This will always be less than 100% as we cannot be certain of </w:t>
      </w:r>
      <w:r w:rsidR="0094273F" w:rsidRPr="006139D1">
        <w:rPr>
          <w:sz w:val="24"/>
          <w:szCs w:val="24"/>
        </w:rPr>
        <w:t xml:space="preserve">the </w:t>
      </w:r>
      <w:r w:rsidRPr="006139D1">
        <w:rPr>
          <w:sz w:val="24"/>
          <w:szCs w:val="24"/>
        </w:rPr>
        <w:t xml:space="preserve">future . </w:t>
      </w:r>
      <w:r w:rsidR="001B5DBD" w:rsidRPr="006139D1">
        <w:rPr>
          <w:sz w:val="24"/>
          <w:szCs w:val="24"/>
        </w:rPr>
        <w:t>H</w:t>
      </w:r>
      <w:r w:rsidRPr="006139D1">
        <w:rPr>
          <w:sz w:val="24"/>
          <w:szCs w:val="24"/>
        </w:rPr>
        <w:t xml:space="preserve">igher </w:t>
      </w:r>
      <w:r w:rsidR="0094273F" w:rsidRPr="006139D1">
        <w:rPr>
          <w:sz w:val="24"/>
          <w:szCs w:val="24"/>
        </w:rPr>
        <w:t>likelihood</w:t>
      </w:r>
      <w:r w:rsidRPr="006139D1">
        <w:rPr>
          <w:sz w:val="24"/>
          <w:szCs w:val="24"/>
        </w:rPr>
        <w:t xml:space="preserve"> “bars” </w:t>
      </w:r>
      <w:r w:rsidR="001B5DBD" w:rsidRPr="006139D1">
        <w:rPr>
          <w:sz w:val="24"/>
          <w:szCs w:val="24"/>
        </w:rPr>
        <w:t xml:space="preserve">can be used </w:t>
      </w:r>
      <w:r w:rsidRPr="006139D1">
        <w:rPr>
          <w:sz w:val="24"/>
          <w:szCs w:val="24"/>
        </w:rPr>
        <w:t xml:space="preserve">for employers where the Fund wishes to reduce the risk that the employer ceases leaving a deficit to be picked up by other employers. </w:t>
      </w:r>
    </w:p>
    <w:p w14:paraId="17C4A819" w14:textId="77777777" w:rsidR="00BA6376" w:rsidRPr="006139D1" w:rsidRDefault="00BA6376" w:rsidP="00BA6376">
      <w:pPr>
        <w:pStyle w:val="BodyTextGrey"/>
        <w:rPr>
          <w:sz w:val="24"/>
          <w:szCs w:val="24"/>
        </w:rPr>
      </w:pPr>
      <w:r w:rsidRPr="006139D1">
        <w:rPr>
          <w:sz w:val="24"/>
          <w:szCs w:val="24"/>
        </w:rPr>
        <w:t>These and associated issues are covered in this Section.</w:t>
      </w:r>
    </w:p>
    <w:p w14:paraId="6E718066" w14:textId="2F464B42" w:rsidR="0041091C" w:rsidRPr="006139D1" w:rsidRDefault="00BA6376" w:rsidP="00BA6376">
      <w:pPr>
        <w:pStyle w:val="BodyTextGrey"/>
        <w:rPr>
          <w:sz w:val="24"/>
          <w:szCs w:val="24"/>
        </w:rPr>
      </w:pPr>
      <w:r w:rsidRPr="006139D1">
        <w:rPr>
          <w:sz w:val="24"/>
          <w:szCs w:val="24"/>
        </w:rPr>
        <w:t>The Administering Authority recognises that there may occasionally be particular circumstances affecting individual employers that are not easily managed within the rules and policies set out in the Funding Strategy Statement.  Therefore the Administering Authority</w:t>
      </w:r>
      <w:r w:rsidR="0094273F" w:rsidRPr="006139D1">
        <w:rPr>
          <w:sz w:val="24"/>
          <w:szCs w:val="24"/>
        </w:rPr>
        <w:t xml:space="preserve"> reserves the right to </w:t>
      </w:r>
      <w:r w:rsidRPr="006139D1">
        <w:rPr>
          <w:sz w:val="24"/>
          <w:szCs w:val="24"/>
        </w:rPr>
        <w:t>direct the actuary to adopt alternative funding approaches on a case by case basis for specific employers.</w:t>
      </w:r>
    </w:p>
    <w:p w14:paraId="1357C789" w14:textId="4A1C1FA7" w:rsidR="00BA6376" w:rsidRPr="006139D1" w:rsidRDefault="00BA6376" w:rsidP="00BA6376">
      <w:pPr>
        <w:pStyle w:val="Heading2Num"/>
        <w:rPr>
          <w:sz w:val="24"/>
          <w:szCs w:val="24"/>
        </w:rPr>
      </w:pPr>
      <w:r w:rsidRPr="006139D1">
        <w:rPr>
          <w:sz w:val="24"/>
          <w:szCs w:val="24"/>
        </w:rPr>
        <w:t xml:space="preserve">The effect of paying </w:t>
      </w:r>
      <w:r w:rsidR="00BE1749" w:rsidRPr="006139D1">
        <w:rPr>
          <w:sz w:val="24"/>
          <w:szCs w:val="24"/>
        </w:rPr>
        <w:t>lower contributions</w:t>
      </w:r>
    </w:p>
    <w:p w14:paraId="548A342D" w14:textId="77777777" w:rsidR="00B155D3" w:rsidRPr="006139D1" w:rsidRDefault="00B155D3" w:rsidP="00B155D3">
      <w:pPr>
        <w:pStyle w:val="BodyTextGrey"/>
        <w:rPr>
          <w:sz w:val="24"/>
          <w:szCs w:val="24"/>
        </w:rPr>
      </w:pPr>
      <w:r w:rsidRPr="006139D1">
        <w:rPr>
          <w:sz w:val="24"/>
          <w:szCs w:val="24"/>
        </w:rPr>
        <w:t xml:space="preserve">In limited circumstances the Administering Authority may permit employers to pay contributions at a lower level than is assessed for the employer using the three step process above.  At their absolute discretion the Administering Authority may: </w:t>
      </w:r>
    </w:p>
    <w:p w14:paraId="55008C12" w14:textId="77777777" w:rsidR="00B155D3" w:rsidRPr="006139D1" w:rsidRDefault="00B155D3" w:rsidP="00B155D3">
      <w:pPr>
        <w:pStyle w:val="BulletHymans"/>
        <w:numPr>
          <w:ilvl w:val="0"/>
          <w:numId w:val="37"/>
        </w:numPr>
        <w:rPr>
          <w:sz w:val="24"/>
          <w:szCs w:val="24"/>
        </w:rPr>
      </w:pPr>
      <w:r w:rsidRPr="006139D1">
        <w:rPr>
          <w:sz w:val="24"/>
          <w:szCs w:val="24"/>
        </w:rPr>
        <w:t>extend the time horizon for targeting full funding;</w:t>
      </w:r>
    </w:p>
    <w:p w14:paraId="110A73B2" w14:textId="36C1F686" w:rsidR="00B155D3" w:rsidRPr="006139D1" w:rsidRDefault="00B155D3" w:rsidP="00B155D3">
      <w:pPr>
        <w:pStyle w:val="BulletHymans"/>
        <w:numPr>
          <w:ilvl w:val="0"/>
          <w:numId w:val="37"/>
        </w:numPr>
        <w:rPr>
          <w:sz w:val="24"/>
          <w:szCs w:val="24"/>
        </w:rPr>
      </w:pPr>
      <w:r w:rsidRPr="006139D1">
        <w:rPr>
          <w:sz w:val="24"/>
          <w:szCs w:val="24"/>
        </w:rPr>
        <w:t xml:space="preserve">adjust the required </w:t>
      </w:r>
      <w:r w:rsidR="0094273F" w:rsidRPr="006139D1">
        <w:rPr>
          <w:sz w:val="24"/>
          <w:szCs w:val="24"/>
        </w:rPr>
        <w:t xml:space="preserve">likelihood </w:t>
      </w:r>
      <w:r w:rsidRPr="006139D1">
        <w:rPr>
          <w:sz w:val="24"/>
          <w:szCs w:val="24"/>
        </w:rPr>
        <w:t>of meeting the funding target;</w:t>
      </w:r>
    </w:p>
    <w:p w14:paraId="59052F61" w14:textId="77777777" w:rsidR="00B155D3" w:rsidRPr="006139D1" w:rsidRDefault="00B155D3" w:rsidP="00B155D3">
      <w:pPr>
        <w:pStyle w:val="BulletHymans"/>
        <w:numPr>
          <w:ilvl w:val="0"/>
          <w:numId w:val="37"/>
        </w:numPr>
        <w:rPr>
          <w:sz w:val="24"/>
          <w:szCs w:val="24"/>
        </w:rPr>
      </w:pPr>
      <w:r w:rsidRPr="006139D1">
        <w:rPr>
          <w:sz w:val="24"/>
          <w:szCs w:val="24"/>
        </w:rPr>
        <w:t xml:space="preserve">permit an employer to participate in the Fund’s stabilisation mechanisms; </w:t>
      </w:r>
    </w:p>
    <w:p w14:paraId="36F79386" w14:textId="77777777" w:rsidR="00B155D3" w:rsidRPr="006139D1" w:rsidRDefault="00B155D3" w:rsidP="00B155D3">
      <w:pPr>
        <w:pStyle w:val="BulletHymans"/>
        <w:numPr>
          <w:ilvl w:val="0"/>
          <w:numId w:val="37"/>
        </w:numPr>
        <w:rPr>
          <w:sz w:val="24"/>
          <w:szCs w:val="24"/>
        </w:rPr>
      </w:pPr>
      <w:r w:rsidRPr="006139D1">
        <w:rPr>
          <w:sz w:val="24"/>
          <w:szCs w:val="24"/>
        </w:rPr>
        <w:t>permit extended phasing in of contribution rises or reductions;</w:t>
      </w:r>
    </w:p>
    <w:p w14:paraId="52E35C1D" w14:textId="77777777" w:rsidR="00B155D3" w:rsidRPr="006139D1" w:rsidRDefault="00B155D3" w:rsidP="00B155D3">
      <w:pPr>
        <w:pStyle w:val="BulletHymans"/>
        <w:numPr>
          <w:ilvl w:val="0"/>
          <w:numId w:val="37"/>
        </w:numPr>
        <w:rPr>
          <w:sz w:val="24"/>
          <w:szCs w:val="24"/>
        </w:rPr>
      </w:pPr>
      <w:r w:rsidRPr="006139D1">
        <w:rPr>
          <w:sz w:val="24"/>
          <w:szCs w:val="24"/>
        </w:rPr>
        <w:t>pool contributions amongst employers with similar characteristics; and/or</w:t>
      </w:r>
    </w:p>
    <w:p w14:paraId="7751959B" w14:textId="77777777" w:rsidR="00B155D3" w:rsidRPr="006139D1" w:rsidRDefault="00B155D3" w:rsidP="00B155D3">
      <w:pPr>
        <w:pStyle w:val="BulletHymans"/>
        <w:numPr>
          <w:ilvl w:val="0"/>
          <w:numId w:val="37"/>
        </w:numPr>
        <w:rPr>
          <w:sz w:val="24"/>
          <w:szCs w:val="24"/>
        </w:rPr>
      </w:pPr>
      <w:r w:rsidRPr="006139D1">
        <w:rPr>
          <w:sz w:val="24"/>
          <w:szCs w:val="24"/>
        </w:rPr>
        <w:t>accept some form of security or guarantee in lieu of a higher contribution rate than would otherwise be the case.</w:t>
      </w:r>
    </w:p>
    <w:p w14:paraId="0FE549AE" w14:textId="77777777" w:rsidR="00B155D3" w:rsidRPr="006139D1" w:rsidRDefault="00B155D3" w:rsidP="00B155D3">
      <w:pPr>
        <w:pStyle w:val="BodyTextGrey"/>
        <w:rPr>
          <w:sz w:val="24"/>
          <w:szCs w:val="24"/>
        </w:rPr>
      </w:pPr>
      <w:r w:rsidRPr="006139D1">
        <w:rPr>
          <w:sz w:val="24"/>
          <w:szCs w:val="24"/>
        </w:rPr>
        <w:t>Employers which are permitted to use one or more of the above methods will often be paying, for a time, contributions less than required to meet their funding target, over the appropriate time horizon with the required likelihood of success.  Such employers should appreciate that:</w:t>
      </w:r>
    </w:p>
    <w:p w14:paraId="6A48611D" w14:textId="77777777" w:rsidR="00B155D3" w:rsidRPr="006139D1" w:rsidRDefault="00B155D3" w:rsidP="00B155D3">
      <w:pPr>
        <w:pStyle w:val="BulletHymans"/>
        <w:numPr>
          <w:ilvl w:val="0"/>
          <w:numId w:val="38"/>
        </w:numPr>
        <w:rPr>
          <w:sz w:val="24"/>
          <w:szCs w:val="24"/>
        </w:rPr>
      </w:pPr>
      <w:r w:rsidRPr="006139D1">
        <w:rPr>
          <w:sz w:val="24"/>
          <w:szCs w:val="24"/>
        </w:rPr>
        <w:t xml:space="preserve">their true long term liability (i.e. the actual eventual cost of benefits payable to their employees and ex-employees) is not affected by the pace of paying contributions; </w:t>
      </w:r>
    </w:p>
    <w:p w14:paraId="75C28B9F" w14:textId="119E9B29" w:rsidR="00B155D3" w:rsidRPr="006139D1" w:rsidRDefault="00B155D3" w:rsidP="00B155D3">
      <w:pPr>
        <w:pStyle w:val="BulletHymans"/>
        <w:numPr>
          <w:ilvl w:val="0"/>
          <w:numId w:val="38"/>
        </w:numPr>
        <w:rPr>
          <w:sz w:val="24"/>
          <w:szCs w:val="24"/>
        </w:rPr>
      </w:pPr>
      <w:r w:rsidRPr="006139D1">
        <w:rPr>
          <w:sz w:val="24"/>
          <w:szCs w:val="24"/>
        </w:rPr>
        <w:lastRenderedPageBreak/>
        <w:t xml:space="preserve">lower contributions in the short term will </w:t>
      </w:r>
      <w:r w:rsidR="0094273F" w:rsidRPr="006139D1">
        <w:rPr>
          <w:sz w:val="24"/>
          <w:szCs w:val="24"/>
        </w:rPr>
        <w:t xml:space="preserve">result in a lower level of future </w:t>
      </w:r>
      <w:r w:rsidRPr="006139D1">
        <w:rPr>
          <w:sz w:val="24"/>
          <w:szCs w:val="24"/>
        </w:rPr>
        <w:t>investment returns on the</w:t>
      </w:r>
      <w:r w:rsidR="0094273F" w:rsidRPr="006139D1">
        <w:rPr>
          <w:sz w:val="24"/>
          <w:szCs w:val="24"/>
        </w:rPr>
        <w:t xml:space="preserve"> employer’s asset share</w:t>
      </w:r>
      <w:r w:rsidRPr="006139D1">
        <w:rPr>
          <w:sz w:val="24"/>
          <w:szCs w:val="24"/>
        </w:rPr>
        <w:t>.  Thus, deferring a certain amount of contribution may lead to higher contributions in the long-term; and</w:t>
      </w:r>
    </w:p>
    <w:p w14:paraId="12995A15" w14:textId="4088B4D9" w:rsidR="009E424A" w:rsidRPr="006139D1" w:rsidRDefault="00B155D3" w:rsidP="0052118E">
      <w:pPr>
        <w:pStyle w:val="BulletHymans"/>
        <w:numPr>
          <w:ilvl w:val="0"/>
          <w:numId w:val="38"/>
        </w:numPr>
        <w:rPr>
          <w:sz w:val="24"/>
          <w:szCs w:val="24"/>
        </w:rPr>
      </w:pPr>
      <w:r w:rsidRPr="006139D1">
        <w:rPr>
          <w:sz w:val="24"/>
          <w:szCs w:val="24"/>
        </w:rPr>
        <w:t>it may take longer to reach their funding target, all other things being equal.</w:t>
      </w:r>
    </w:p>
    <w:p w14:paraId="28183B8F" w14:textId="7CB6F9C8" w:rsidR="00CA485A" w:rsidRPr="006139D1" w:rsidRDefault="00CA485A" w:rsidP="00CA485A">
      <w:pPr>
        <w:pStyle w:val="BodyTextGrey"/>
        <w:rPr>
          <w:sz w:val="24"/>
          <w:szCs w:val="24"/>
        </w:rPr>
      </w:pPr>
      <w:r w:rsidRPr="006139D1">
        <w:rPr>
          <w:sz w:val="24"/>
          <w:szCs w:val="24"/>
        </w:rPr>
        <w:t>Overleaf (</w:t>
      </w:r>
      <w:hyperlink w:anchor="TheDifferentApproachesUsedForDiffEmps3_3" w:history="1">
        <w:r w:rsidRPr="006139D1">
          <w:rPr>
            <w:rStyle w:val="Hyperlink"/>
            <w:sz w:val="24"/>
            <w:szCs w:val="24"/>
          </w:rPr>
          <w:t>3.3</w:t>
        </w:r>
      </w:hyperlink>
      <w:r w:rsidRPr="006139D1">
        <w:rPr>
          <w:sz w:val="24"/>
          <w:szCs w:val="24"/>
        </w:rPr>
        <w:t>) is a summary of how the main funding policies differ for different types of employer, followed by more detailed notes where necessary.</w:t>
      </w:r>
    </w:p>
    <w:p w14:paraId="44B1A3E8" w14:textId="77777777" w:rsidR="00CA485A" w:rsidRPr="006139D1" w:rsidRDefault="002F7970" w:rsidP="00CA485A">
      <w:pPr>
        <w:pStyle w:val="BodyTextGrey"/>
        <w:rPr>
          <w:sz w:val="24"/>
          <w:szCs w:val="24"/>
        </w:rPr>
      </w:pPr>
      <w:hyperlink w:anchor="PooledContributions3_4" w:history="1">
        <w:r w:rsidR="00CA485A" w:rsidRPr="006139D1">
          <w:rPr>
            <w:rStyle w:val="Hyperlink"/>
            <w:sz w:val="24"/>
            <w:szCs w:val="24"/>
          </w:rPr>
          <w:t>Section 3.4</w:t>
        </w:r>
      </w:hyperlink>
      <w:r w:rsidR="00CA485A" w:rsidRPr="006139D1">
        <w:rPr>
          <w:sz w:val="24"/>
          <w:szCs w:val="24"/>
        </w:rPr>
        <w:t xml:space="preserve"> onwards deal</w:t>
      </w:r>
      <w:r w:rsidR="00BC412E" w:rsidRPr="006139D1">
        <w:rPr>
          <w:sz w:val="24"/>
          <w:szCs w:val="24"/>
        </w:rPr>
        <w:t>s</w:t>
      </w:r>
      <w:r w:rsidR="00CA485A" w:rsidRPr="006139D1">
        <w:rPr>
          <w:sz w:val="24"/>
          <w:szCs w:val="24"/>
        </w:rPr>
        <w:t xml:space="preserve"> with various other funding issues which apply to all employers.</w:t>
      </w:r>
    </w:p>
    <w:p w14:paraId="3EB5F707" w14:textId="77777777" w:rsidR="00BA6376" w:rsidRPr="006139D1" w:rsidRDefault="00BA6376">
      <w:pPr>
        <w:spacing w:after="20" w:line="240" w:lineRule="auto"/>
        <w:jc w:val="left"/>
        <w:rPr>
          <w:sz w:val="24"/>
          <w:szCs w:val="24"/>
        </w:rPr>
        <w:sectPr w:rsidR="00BA6376" w:rsidRPr="006139D1" w:rsidSect="0000606C">
          <w:headerReference w:type="even" r:id="rId21"/>
          <w:headerReference w:type="default" r:id="rId22"/>
          <w:footerReference w:type="even" r:id="rId23"/>
          <w:headerReference w:type="first" r:id="rId24"/>
          <w:footerReference w:type="first" r:id="rId25"/>
          <w:pgSz w:w="11906" w:h="16838" w:code="9"/>
          <w:pgMar w:top="1814" w:right="851" w:bottom="1134" w:left="1134" w:header="720" w:footer="284" w:gutter="0"/>
          <w:pgNumType w:start="1"/>
          <w:cols w:space="708"/>
          <w:docGrid w:linePitch="360"/>
        </w:sectPr>
      </w:pPr>
    </w:p>
    <w:p w14:paraId="65D2AA85" w14:textId="77777777" w:rsidR="00BA6376" w:rsidRPr="006139D1" w:rsidRDefault="00BA6376" w:rsidP="00BA6376">
      <w:pPr>
        <w:pStyle w:val="Heading2Num"/>
        <w:rPr>
          <w:sz w:val="24"/>
          <w:szCs w:val="24"/>
        </w:rPr>
      </w:pPr>
      <w:bookmarkStart w:id="16" w:name="TheDifferentApproachesUsedForDiffEmps3_3"/>
      <w:r w:rsidRPr="006139D1">
        <w:rPr>
          <w:sz w:val="24"/>
          <w:szCs w:val="24"/>
        </w:rPr>
        <w:lastRenderedPageBreak/>
        <w:t>The different approaches used for different employers</w:t>
      </w:r>
    </w:p>
    <w:tbl>
      <w:tblPr>
        <w:tblStyle w:val="TableGrid"/>
        <w:tblW w:w="5314" w:type="pct"/>
        <w:tblLook w:val="04A0" w:firstRow="1" w:lastRow="0" w:firstColumn="1" w:lastColumn="0" w:noHBand="0" w:noVBand="1"/>
      </w:tblPr>
      <w:tblGrid>
        <w:gridCol w:w="1980"/>
        <w:gridCol w:w="2410"/>
        <w:gridCol w:w="2977"/>
        <w:gridCol w:w="1841"/>
        <w:gridCol w:w="2127"/>
        <w:gridCol w:w="3417"/>
      </w:tblGrid>
      <w:tr w:rsidR="00A54312" w:rsidRPr="00EE2337" w14:paraId="63373751" w14:textId="77777777" w:rsidTr="00317572">
        <w:tc>
          <w:tcPr>
            <w:tcW w:w="671" w:type="pct"/>
          </w:tcPr>
          <w:bookmarkEnd w:id="16"/>
          <w:p w14:paraId="5DE4AE7F" w14:textId="77777777" w:rsidR="00A54312" w:rsidRPr="006139D1" w:rsidRDefault="00A54312" w:rsidP="009F481D">
            <w:pPr>
              <w:pStyle w:val="BodyTextGrey"/>
              <w:spacing w:after="20" w:line="240" w:lineRule="auto"/>
              <w:rPr>
                <w:b/>
                <w:sz w:val="24"/>
                <w:szCs w:val="24"/>
              </w:rPr>
            </w:pPr>
            <w:r w:rsidRPr="006139D1">
              <w:rPr>
                <w:b/>
                <w:sz w:val="24"/>
                <w:szCs w:val="24"/>
              </w:rPr>
              <w:t>Type of employer</w:t>
            </w:r>
          </w:p>
        </w:tc>
        <w:tc>
          <w:tcPr>
            <w:tcW w:w="1826" w:type="pct"/>
            <w:gridSpan w:val="2"/>
          </w:tcPr>
          <w:p w14:paraId="2907137B" w14:textId="77777777" w:rsidR="00A54312" w:rsidRPr="006139D1" w:rsidRDefault="00A54312" w:rsidP="009F481D">
            <w:pPr>
              <w:pStyle w:val="BodyTextGrey"/>
              <w:spacing w:after="20" w:line="240" w:lineRule="auto"/>
              <w:jc w:val="center"/>
              <w:rPr>
                <w:b/>
                <w:sz w:val="24"/>
                <w:szCs w:val="24"/>
              </w:rPr>
            </w:pPr>
            <w:r w:rsidRPr="006139D1">
              <w:rPr>
                <w:b/>
                <w:sz w:val="24"/>
                <w:szCs w:val="24"/>
              </w:rPr>
              <w:t>Scheduled Bodies</w:t>
            </w:r>
          </w:p>
        </w:tc>
        <w:tc>
          <w:tcPr>
            <w:tcW w:w="1345" w:type="pct"/>
            <w:gridSpan w:val="2"/>
          </w:tcPr>
          <w:p w14:paraId="0F832B41" w14:textId="77777777" w:rsidR="00A54312" w:rsidRPr="006139D1" w:rsidRDefault="00A54312" w:rsidP="009F481D">
            <w:pPr>
              <w:pStyle w:val="BodyTextGrey"/>
              <w:spacing w:after="20" w:line="240" w:lineRule="auto"/>
              <w:jc w:val="center"/>
              <w:rPr>
                <w:b/>
                <w:sz w:val="24"/>
                <w:szCs w:val="24"/>
              </w:rPr>
            </w:pPr>
            <w:r w:rsidRPr="006139D1">
              <w:rPr>
                <w:b/>
                <w:sz w:val="24"/>
                <w:szCs w:val="24"/>
              </w:rPr>
              <w:t>Community Admission Bodies</w:t>
            </w:r>
            <w:r w:rsidR="0054303C" w:rsidRPr="006139D1">
              <w:rPr>
                <w:b/>
                <w:sz w:val="24"/>
                <w:szCs w:val="24"/>
              </w:rPr>
              <w:t xml:space="preserve"> and Designating Employers</w:t>
            </w:r>
          </w:p>
        </w:tc>
        <w:tc>
          <w:tcPr>
            <w:tcW w:w="1158" w:type="pct"/>
          </w:tcPr>
          <w:p w14:paraId="361F20B9" w14:textId="77777777" w:rsidR="00A54312" w:rsidRPr="006139D1" w:rsidRDefault="00A54312" w:rsidP="009F481D">
            <w:pPr>
              <w:pStyle w:val="BodyTextGrey"/>
              <w:spacing w:after="20" w:line="240" w:lineRule="auto"/>
              <w:jc w:val="center"/>
              <w:rPr>
                <w:b/>
                <w:sz w:val="24"/>
                <w:szCs w:val="24"/>
              </w:rPr>
            </w:pPr>
            <w:r w:rsidRPr="006139D1">
              <w:rPr>
                <w:b/>
                <w:sz w:val="24"/>
                <w:szCs w:val="24"/>
              </w:rPr>
              <w:t>Transferee Admission Bodies</w:t>
            </w:r>
          </w:p>
        </w:tc>
      </w:tr>
      <w:tr w:rsidR="008748D8" w:rsidRPr="00EE2337" w14:paraId="06AF2974" w14:textId="77777777" w:rsidTr="00317572">
        <w:tc>
          <w:tcPr>
            <w:tcW w:w="671" w:type="pct"/>
          </w:tcPr>
          <w:p w14:paraId="5851FDA9" w14:textId="77777777" w:rsidR="00182EEB" w:rsidRPr="006139D1" w:rsidRDefault="00182EEB" w:rsidP="009F481D">
            <w:pPr>
              <w:pStyle w:val="BodyTextGrey"/>
              <w:spacing w:after="20" w:line="240" w:lineRule="auto"/>
              <w:rPr>
                <w:b/>
                <w:sz w:val="24"/>
                <w:szCs w:val="24"/>
              </w:rPr>
            </w:pPr>
            <w:r w:rsidRPr="006139D1">
              <w:rPr>
                <w:b/>
                <w:sz w:val="24"/>
                <w:szCs w:val="24"/>
              </w:rPr>
              <w:t>Sub-type</w:t>
            </w:r>
          </w:p>
        </w:tc>
        <w:tc>
          <w:tcPr>
            <w:tcW w:w="817" w:type="pct"/>
          </w:tcPr>
          <w:p w14:paraId="5C7D1110" w14:textId="1ED42736" w:rsidR="00182EEB" w:rsidRPr="006139D1" w:rsidRDefault="00182EEB" w:rsidP="009F481D">
            <w:pPr>
              <w:pStyle w:val="BodyTextGrey"/>
              <w:spacing w:after="20" w:line="240" w:lineRule="auto"/>
              <w:jc w:val="center"/>
              <w:rPr>
                <w:b/>
                <w:sz w:val="24"/>
                <w:szCs w:val="24"/>
              </w:rPr>
            </w:pPr>
            <w:r w:rsidRPr="006139D1">
              <w:rPr>
                <w:b/>
                <w:sz w:val="24"/>
                <w:szCs w:val="24"/>
              </w:rPr>
              <w:t>Local Authority</w:t>
            </w:r>
          </w:p>
        </w:tc>
        <w:tc>
          <w:tcPr>
            <w:tcW w:w="1009" w:type="pct"/>
          </w:tcPr>
          <w:p w14:paraId="7176775C" w14:textId="77777777" w:rsidR="00182EEB" w:rsidRPr="006139D1" w:rsidRDefault="00182EEB" w:rsidP="009F481D">
            <w:pPr>
              <w:pStyle w:val="BodyTextGrey"/>
              <w:spacing w:after="20" w:line="240" w:lineRule="auto"/>
              <w:jc w:val="center"/>
              <w:rPr>
                <w:b/>
                <w:sz w:val="24"/>
                <w:szCs w:val="24"/>
              </w:rPr>
            </w:pPr>
            <w:r w:rsidRPr="006139D1">
              <w:rPr>
                <w:b/>
                <w:sz w:val="24"/>
                <w:szCs w:val="24"/>
              </w:rPr>
              <w:t xml:space="preserve">Academies </w:t>
            </w:r>
          </w:p>
          <w:p w14:paraId="573EC387" w14:textId="3E71982C" w:rsidR="00182EEB" w:rsidRPr="006139D1" w:rsidRDefault="00182EEB" w:rsidP="009F481D">
            <w:pPr>
              <w:pStyle w:val="BodyTextGrey"/>
              <w:spacing w:after="20" w:line="240" w:lineRule="auto"/>
              <w:jc w:val="center"/>
              <w:rPr>
                <w:b/>
                <w:sz w:val="24"/>
                <w:szCs w:val="24"/>
              </w:rPr>
            </w:pPr>
            <w:r w:rsidRPr="006139D1">
              <w:rPr>
                <w:b/>
                <w:sz w:val="24"/>
                <w:szCs w:val="24"/>
              </w:rPr>
              <w:t>(incl</w:t>
            </w:r>
            <w:r w:rsidR="008748D8" w:rsidRPr="006139D1">
              <w:rPr>
                <w:b/>
                <w:sz w:val="24"/>
                <w:szCs w:val="24"/>
              </w:rPr>
              <w:t>uding</w:t>
            </w:r>
            <w:r w:rsidRPr="006139D1">
              <w:rPr>
                <w:b/>
                <w:sz w:val="24"/>
                <w:szCs w:val="24"/>
              </w:rPr>
              <w:t xml:space="preserve"> Free Schools)</w:t>
            </w:r>
          </w:p>
        </w:tc>
        <w:tc>
          <w:tcPr>
            <w:tcW w:w="624" w:type="pct"/>
          </w:tcPr>
          <w:p w14:paraId="1DDFECC9" w14:textId="77777777" w:rsidR="00182EEB" w:rsidRPr="006139D1" w:rsidRDefault="00182EEB" w:rsidP="009F481D">
            <w:pPr>
              <w:pStyle w:val="BodyTextGrey"/>
              <w:spacing w:after="20" w:line="240" w:lineRule="auto"/>
              <w:jc w:val="center"/>
              <w:rPr>
                <w:b/>
                <w:sz w:val="24"/>
                <w:szCs w:val="24"/>
              </w:rPr>
            </w:pPr>
            <w:r w:rsidRPr="006139D1">
              <w:rPr>
                <w:b/>
                <w:sz w:val="24"/>
                <w:szCs w:val="24"/>
              </w:rPr>
              <w:t>Open to new entrants</w:t>
            </w:r>
          </w:p>
        </w:tc>
        <w:tc>
          <w:tcPr>
            <w:tcW w:w="721" w:type="pct"/>
          </w:tcPr>
          <w:p w14:paraId="328B8D39" w14:textId="77777777" w:rsidR="00182EEB" w:rsidRPr="006139D1" w:rsidRDefault="00182EEB" w:rsidP="009F481D">
            <w:pPr>
              <w:pStyle w:val="BodyTextGrey"/>
              <w:spacing w:after="20" w:line="240" w:lineRule="auto"/>
              <w:jc w:val="center"/>
              <w:rPr>
                <w:b/>
                <w:sz w:val="24"/>
                <w:szCs w:val="24"/>
              </w:rPr>
            </w:pPr>
            <w:r w:rsidRPr="006139D1">
              <w:rPr>
                <w:b/>
                <w:sz w:val="24"/>
                <w:szCs w:val="24"/>
              </w:rPr>
              <w:t>Closed to new entrants</w:t>
            </w:r>
          </w:p>
        </w:tc>
        <w:tc>
          <w:tcPr>
            <w:tcW w:w="1158" w:type="pct"/>
          </w:tcPr>
          <w:p w14:paraId="2EB59202" w14:textId="77777777" w:rsidR="00182EEB" w:rsidRPr="006139D1" w:rsidRDefault="00182EEB" w:rsidP="009F481D">
            <w:pPr>
              <w:pStyle w:val="BodyTextGrey"/>
              <w:spacing w:after="20" w:line="240" w:lineRule="auto"/>
              <w:jc w:val="center"/>
              <w:rPr>
                <w:b/>
                <w:sz w:val="24"/>
                <w:szCs w:val="24"/>
              </w:rPr>
            </w:pPr>
            <w:r w:rsidRPr="006139D1">
              <w:rPr>
                <w:b/>
                <w:sz w:val="24"/>
                <w:szCs w:val="24"/>
              </w:rPr>
              <w:t>(all)</w:t>
            </w:r>
          </w:p>
        </w:tc>
      </w:tr>
      <w:tr w:rsidR="00A54312" w:rsidRPr="00EE2337" w14:paraId="2AD19322" w14:textId="77777777" w:rsidTr="00317572">
        <w:tc>
          <w:tcPr>
            <w:tcW w:w="671" w:type="pct"/>
          </w:tcPr>
          <w:p w14:paraId="08D5E8A3" w14:textId="68CDF7F6" w:rsidR="00A54312" w:rsidRPr="006139D1" w:rsidRDefault="00423A6E" w:rsidP="009F481D">
            <w:pPr>
              <w:pStyle w:val="BodyTextGrey"/>
              <w:spacing w:after="20" w:line="240" w:lineRule="auto"/>
              <w:rPr>
                <w:b/>
                <w:sz w:val="24"/>
                <w:szCs w:val="24"/>
              </w:rPr>
            </w:pPr>
            <w:r w:rsidRPr="006139D1">
              <w:rPr>
                <w:b/>
                <w:sz w:val="24"/>
                <w:szCs w:val="24"/>
              </w:rPr>
              <w:t xml:space="preserve">Funding Target </w:t>
            </w:r>
            <w:r w:rsidR="00A54312" w:rsidRPr="006139D1">
              <w:rPr>
                <w:b/>
                <w:sz w:val="24"/>
                <w:szCs w:val="24"/>
              </w:rPr>
              <w:t>Basis used</w:t>
            </w:r>
          </w:p>
        </w:tc>
        <w:tc>
          <w:tcPr>
            <w:tcW w:w="1826" w:type="pct"/>
            <w:gridSpan w:val="2"/>
          </w:tcPr>
          <w:p w14:paraId="114A701D" w14:textId="52C3E750" w:rsidR="00A54312" w:rsidRPr="006139D1" w:rsidRDefault="00A54312" w:rsidP="009F481D">
            <w:pPr>
              <w:pStyle w:val="BodyTextGrey"/>
              <w:spacing w:after="20" w:line="240" w:lineRule="auto"/>
              <w:jc w:val="center"/>
              <w:rPr>
                <w:sz w:val="24"/>
                <w:szCs w:val="24"/>
              </w:rPr>
            </w:pPr>
            <w:r w:rsidRPr="006139D1">
              <w:rPr>
                <w:sz w:val="24"/>
                <w:szCs w:val="24"/>
              </w:rPr>
              <w:t xml:space="preserve">Ongoing, </w:t>
            </w:r>
            <w:r w:rsidR="0094273F" w:rsidRPr="006139D1">
              <w:rPr>
                <w:sz w:val="24"/>
                <w:szCs w:val="24"/>
              </w:rPr>
              <w:t xml:space="preserve">participation basis </w:t>
            </w:r>
            <w:r w:rsidRPr="006139D1">
              <w:rPr>
                <w:sz w:val="24"/>
                <w:szCs w:val="24"/>
              </w:rPr>
              <w:t xml:space="preserve">assumes long-term Fund participation </w:t>
            </w:r>
            <w:r w:rsidRPr="006139D1">
              <w:rPr>
                <w:sz w:val="24"/>
                <w:szCs w:val="24"/>
              </w:rPr>
              <w:br/>
              <w:t xml:space="preserve">(see </w:t>
            </w:r>
            <w:hyperlink w:anchor="AppendixE" w:history="1">
              <w:r w:rsidRPr="006139D1">
                <w:rPr>
                  <w:rStyle w:val="Hyperlink"/>
                  <w:sz w:val="24"/>
                  <w:szCs w:val="24"/>
                </w:rPr>
                <w:t>Appendix E</w:t>
              </w:r>
            </w:hyperlink>
            <w:r w:rsidRPr="006139D1">
              <w:rPr>
                <w:sz w:val="24"/>
                <w:szCs w:val="24"/>
              </w:rPr>
              <w:t>)</w:t>
            </w:r>
          </w:p>
        </w:tc>
        <w:tc>
          <w:tcPr>
            <w:tcW w:w="1345" w:type="pct"/>
            <w:gridSpan w:val="2"/>
          </w:tcPr>
          <w:p w14:paraId="6FBBB32B" w14:textId="47048684" w:rsidR="00A54312" w:rsidRPr="006139D1" w:rsidRDefault="00A54312" w:rsidP="009F481D">
            <w:pPr>
              <w:pStyle w:val="BodyTextGrey"/>
              <w:spacing w:after="20" w:line="240" w:lineRule="auto"/>
              <w:jc w:val="center"/>
              <w:rPr>
                <w:sz w:val="24"/>
                <w:szCs w:val="24"/>
              </w:rPr>
            </w:pPr>
            <w:r w:rsidRPr="006139D1">
              <w:rPr>
                <w:sz w:val="24"/>
                <w:szCs w:val="24"/>
              </w:rPr>
              <w:t>Ongoing</w:t>
            </w:r>
            <w:r w:rsidR="0094273F" w:rsidRPr="006139D1">
              <w:rPr>
                <w:sz w:val="24"/>
                <w:szCs w:val="24"/>
              </w:rPr>
              <w:t xml:space="preserve"> participation basis</w:t>
            </w:r>
            <w:r w:rsidRPr="006139D1">
              <w:rPr>
                <w:sz w:val="24"/>
                <w:szCs w:val="24"/>
              </w:rPr>
              <w:t xml:space="preserve">, but may move to “gilts basis” - see </w:t>
            </w:r>
            <w:hyperlink w:anchor="Notea" w:history="1">
              <w:r w:rsidRPr="006139D1">
                <w:rPr>
                  <w:rStyle w:val="Hyperlink"/>
                  <w:sz w:val="24"/>
                  <w:szCs w:val="24"/>
                </w:rPr>
                <w:t>Note (a)</w:t>
              </w:r>
            </w:hyperlink>
          </w:p>
        </w:tc>
        <w:tc>
          <w:tcPr>
            <w:tcW w:w="1158" w:type="pct"/>
          </w:tcPr>
          <w:p w14:paraId="0ED56007" w14:textId="578EC6DE" w:rsidR="00A54312" w:rsidRPr="006139D1" w:rsidRDefault="0094273F" w:rsidP="009F481D">
            <w:pPr>
              <w:pStyle w:val="BodyTextGrey"/>
              <w:spacing w:after="20" w:line="240" w:lineRule="auto"/>
              <w:jc w:val="center"/>
              <w:rPr>
                <w:sz w:val="24"/>
                <w:szCs w:val="24"/>
              </w:rPr>
            </w:pPr>
            <w:r w:rsidRPr="006139D1">
              <w:rPr>
                <w:sz w:val="24"/>
                <w:szCs w:val="24"/>
              </w:rPr>
              <w:t>Contractor exit basis</w:t>
            </w:r>
            <w:r w:rsidR="00A54312" w:rsidRPr="006139D1">
              <w:rPr>
                <w:sz w:val="24"/>
                <w:szCs w:val="24"/>
              </w:rPr>
              <w:t xml:space="preserve">, assumes fixed contract term in the Fund (see </w:t>
            </w:r>
            <w:hyperlink w:anchor="AppendixE" w:history="1">
              <w:r w:rsidR="00A54312" w:rsidRPr="006139D1">
                <w:rPr>
                  <w:rStyle w:val="Hyperlink"/>
                  <w:sz w:val="24"/>
                  <w:szCs w:val="24"/>
                </w:rPr>
                <w:t>Appendix E</w:t>
              </w:r>
            </w:hyperlink>
            <w:r w:rsidR="00A54312" w:rsidRPr="006139D1">
              <w:rPr>
                <w:sz w:val="24"/>
                <w:szCs w:val="24"/>
              </w:rPr>
              <w:t>)</w:t>
            </w:r>
          </w:p>
        </w:tc>
      </w:tr>
      <w:tr w:rsidR="00A66FE8" w:rsidRPr="00EE2337" w14:paraId="56A1D1BA" w14:textId="77777777" w:rsidTr="00317572">
        <w:tc>
          <w:tcPr>
            <w:tcW w:w="671" w:type="pct"/>
          </w:tcPr>
          <w:p w14:paraId="450647BB" w14:textId="6ED708E3" w:rsidR="00A66FE8" w:rsidRPr="006139D1" w:rsidRDefault="00A66FE8" w:rsidP="009F481D">
            <w:pPr>
              <w:pStyle w:val="BodyTextGrey"/>
              <w:spacing w:after="20" w:line="240" w:lineRule="auto"/>
              <w:rPr>
                <w:b/>
                <w:sz w:val="24"/>
                <w:szCs w:val="24"/>
              </w:rPr>
            </w:pPr>
            <w:r w:rsidRPr="006139D1">
              <w:rPr>
                <w:b/>
                <w:sz w:val="24"/>
                <w:szCs w:val="24"/>
              </w:rPr>
              <w:t>Primary rate approach</w:t>
            </w:r>
          </w:p>
        </w:tc>
        <w:tc>
          <w:tcPr>
            <w:tcW w:w="4329" w:type="pct"/>
            <w:gridSpan w:val="5"/>
          </w:tcPr>
          <w:p w14:paraId="1ADCE242" w14:textId="4A7CDBBC" w:rsidR="00A66FE8" w:rsidRPr="006139D1" w:rsidRDefault="00A66FE8" w:rsidP="009F481D">
            <w:pPr>
              <w:pStyle w:val="BodyTextGrey"/>
              <w:spacing w:after="20" w:line="240" w:lineRule="auto"/>
              <w:jc w:val="center"/>
              <w:rPr>
                <w:sz w:val="24"/>
                <w:szCs w:val="24"/>
              </w:rPr>
            </w:pPr>
            <w:r w:rsidRPr="006139D1">
              <w:rPr>
                <w:sz w:val="24"/>
                <w:szCs w:val="24"/>
              </w:rPr>
              <w:t xml:space="preserve"> (see </w:t>
            </w:r>
            <w:hyperlink w:anchor="AppendixD" w:history="1">
              <w:r w:rsidRPr="006139D1">
                <w:rPr>
                  <w:rStyle w:val="Hyperlink"/>
                  <w:sz w:val="24"/>
                  <w:szCs w:val="24"/>
                </w:rPr>
                <w:t>Appendix D – D.2</w:t>
              </w:r>
            </w:hyperlink>
            <w:r w:rsidRPr="006139D1">
              <w:rPr>
                <w:sz w:val="24"/>
                <w:szCs w:val="24"/>
              </w:rPr>
              <w:t>)</w:t>
            </w:r>
          </w:p>
          <w:p w14:paraId="73E9424F" w14:textId="746469F9" w:rsidR="00A66FE8" w:rsidRPr="006139D1" w:rsidRDefault="00A66FE8" w:rsidP="009F481D">
            <w:pPr>
              <w:pStyle w:val="BodyTextGrey"/>
              <w:spacing w:after="20" w:line="240" w:lineRule="auto"/>
              <w:jc w:val="center"/>
              <w:rPr>
                <w:sz w:val="24"/>
                <w:szCs w:val="24"/>
              </w:rPr>
            </w:pPr>
          </w:p>
        </w:tc>
      </w:tr>
      <w:tr w:rsidR="008748D8" w:rsidRPr="00EE2337" w14:paraId="25B1D8CA" w14:textId="77777777" w:rsidTr="00317572">
        <w:tc>
          <w:tcPr>
            <w:tcW w:w="671" w:type="pct"/>
          </w:tcPr>
          <w:p w14:paraId="18F79E52" w14:textId="77777777" w:rsidR="00170768" w:rsidRPr="006139D1" w:rsidRDefault="00170768" w:rsidP="009F481D">
            <w:pPr>
              <w:pStyle w:val="BodyTextGrey"/>
              <w:spacing w:after="20" w:line="240" w:lineRule="auto"/>
              <w:rPr>
                <w:b/>
                <w:sz w:val="24"/>
                <w:szCs w:val="24"/>
              </w:rPr>
            </w:pPr>
            <w:r w:rsidRPr="006139D1">
              <w:rPr>
                <w:b/>
                <w:sz w:val="24"/>
                <w:szCs w:val="24"/>
              </w:rPr>
              <w:t>Stabilised contribution rate?</w:t>
            </w:r>
          </w:p>
        </w:tc>
        <w:tc>
          <w:tcPr>
            <w:tcW w:w="817" w:type="pct"/>
          </w:tcPr>
          <w:p w14:paraId="6E8169C8" w14:textId="77777777" w:rsidR="00170768" w:rsidRPr="006139D1" w:rsidRDefault="00170768" w:rsidP="009F481D">
            <w:pPr>
              <w:pStyle w:val="BodyTextGrey"/>
              <w:spacing w:after="20" w:line="240" w:lineRule="auto"/>
              <w:jc w:val="center"/>
              <w:rPr>
                <w:sz w:val="24"/>
                <w:szCs w:val="24"/>
              </w:rPr>
            </w:pPr>
            <w:r w:rsidRPr="006139D1">
              <w:rPr>
                <w:sz w:val="24"/>
                <w:szCs w:val="24"/>
              </w:rPr>
              <w:t xml:space="preserve">Yes - see </w:t>
            </w:r>
            <w:hyperlink w:anchor="Noteb" w:history="1">
              <w:r w:rsidRPr="006139D1">
                <w:rPr>
                  <w:rStyle w:val="Hyperlink"/>
                  <w:sz w:val="24"/>
                  <w:szCs w:val="24"/>
                </w:rPr>
                <w:t>Note (b)</w:t>
              </w:r>
            </w:hyperlink>
          </w:p>
        </w:tc>
        <w:tc>
          <w:tcPr>
            <w:tcW w:w="1009" w:type="pct"/>
          </w:tcPr>
          <w:p w14:paraId="7D5EADD3" w14:textId="5FCF1BE4" w:rsidR="00170768" w:rsidRPr="006139D1" w:rsidRDefault="00170768" w:rsidP="009F481D">
            <w:pPr>
              <w:pStyle w:val="BodyTextGrey"/>
              <w:spacing w:after="20" w:line="240" w:lineRule="auto"/>
              <w:jc w:val="center"/>
              <w:rPr>
                <w:sz w:val="24"/>
                <w:szCs w:val="24"/>
              </w:rPr>
            </w:pPr>
            <w:r w:rsidRPr="006139D1">
              <w:rPr>
                <w:sz w:val="24"/>
                <w:szCs w:val="24"/>
              </w:rPr>
              <w:t>No</w:t>
            </w:r>
          </w:p>
        </w:tc>
        <w:tc>
          <w:tcPr>
            <w:tcW w:w="624" w:type="pct"/>
          </w:tcPr>
          <w:p w14:paraId="343F6D84" w14:textId="77777777" w:rsidR="00170768" w:rsidRPr="006139D1" w:rsidRDefault="00170768" w:rsidP="009F481D">
            <w:pPr>
              <w:pStyle w:val="BodyTextGrey"/>
              <w:spacing w:after="20" w:line="240" w:lineRule="auto"/>
              <w:jc w:val="center"/>
              <w:rPr>
                <w:sz w:val="24"/>
                <w:szCs w:val="24"/>
              </w:rPr>
            </w:pPr>
            <w:r w:rsidRPr="006139D1">
              <w:rPr>
                <w:sz w:val="24"/>
                <w:szCs w:val="24"/>
              </w:rPr>
              <w:t>No</w:t>
            </w:r>
          </w:p>
        </w:tc>
        <w:tc>
          <w:tcPr>
            <w:tcW w:w="721" w:type="pct"/>
          </w:tcPr>
          <w:p w14:paraId="00593028" w14:textId="77777777" w:rsidR="00170768" w:rsidRPr="006139D1" w:rsidRDefault="00170768" w:rsidP="009F481D">
            <w:pPr>
              <w:pStyle w:val="BodyTextGrey"/>
              <w:spacing w:after="20" w:line="240" w:lineRule="auto"/>
              <w:jc w:val="center"/>
              <w:rPr>
                <w:sz w:val="24"/>
                <w:szCs w:val="24"/>
              </w:rPr>
            </w:pPr>
            <w:r w:rsidRPr="006139D1">
              <w:rPr>
                <w:sz w:val="24"/>
                <w:szCs w:val="24"/>
              </w:rPr>
              <w:t>No</w:t>
            </w:r>
          </w:p>
        </w:tc>
        <w:tc>
          <w:tcPr>
            <w:tcW w:w="1158" w:type="pct"/>
          </w:tcPr>
          <w:p w14:paraId="789921C7" w14:textId="77777777" w:rsidR="00170768" w:rsidRPr="006139D1" w:rsidRDefault="00170768" w:rsidP="009F481D">
            <w:pPr>
              <w:pStyle w:val="BodyTextGrey"/>
              <w:spacing w:after="20" w:line="240" w:lineRule="auto"/>
              <w:jc w:val="center"/>
              <w:rPr>
                <w:sz w:val="24"/>
                <w:szCs w:val="24"/>
              </w:rPr>
            </w:pPr>
            <w:r w:rsidRPr="006139D1">
              <w:rPr>
                <w:sz w:val="24"/>
                <w:szCs w:val="24"/>
              </w:rPr>
              <w:t>No</w:t>
            </w:r>
          </w:p>
        </w:tc>
      </w:tr>
      <w:tr w:rsidR="008748D8" w:rsidRPr="00EE2337" w14:paraId="1889EFE8" w14:textId="77777777" w:rsidTr="00317572">
        <w:tc>
          <w:tcPr>
            <w:tcW w:w="671" w:type="pct"/>
          </w:tcPr>
          <w:p w14:paraId="32D68B3C" w14:textId="38B5D3ED" w:rsidR="00170768" w:rsidRPr="006139D1" w:rsidRDefault="00170768" w:rsidP="00AE003F">
            <w:pPr>
              <w:pStyle w:val="BodyTextGrey"/>
              <w:spacing w:after="20" w:line="240" w:lineRule="auto"/>
              <w:rPr>
                <w:b/>
                <w:sz w:val="24"/>
                <w:szCs w:val="24"/>
              </w:rPr>
            </w:pPr>
            <w:r w:rsidRPr="006139D1">
              <w:rPr>
                <w:b/>
                <w:sz w:val="24"/>
                <w:szCs w:val="24"/>
              </w:rPr>
              <w:t xml:space="preserve">Maximum time horizon – </w:t>
            </w:r>
            <w:hyperlink w:anchor="Notec" w:history="1">
              <w:r w:rsidRPr="006139D1">
                <w:rPr>
                  <w:rStyle w:val="Hyperlink"/>
                  <w:b/>
                  <w:sz w:val="24"/>
                  <w:szCs w:val="24"/>
                </w:rPr>
                <w:t>Note (c)</w:t>
              </w:r>
            </w:hyperlink>
          </w:p>
        </w:tc>
        <w:tc>
          <w:tcPr>
            <w:tcW w:w="817" w:type="pct"/>
          </w:tcPr>
          <w:p w14:paraId="6BA84C12" w14:textId="77777777" w:rsidR="00170768" w:rsidRPr="00FC38AD" w:rsidRDefault="00170768" w:rsidP="009F481D">
            <w:pPr>
              <w:pStyle w:val="BodyTextGrey"/>
              <w:spacing w:after="20" w:line="240" w:lineRule="auto"/>
              <w:jc w:val="center"/>
              <w:rPr>
                <w:sz w:val="24"/>
                <w:szCs w:val="24"/>
              </w:rPr>
            </w:pPr>
            <w:r w:rsidRPr="00FC38AD">
              <w:rPr>
                <w:sz w:val="24"/>
                <w:szCs w:val="24"/>
              </w:rPr>
              <w:t>20 years</w:t>
            </w:r>
          </w:p>
        </w:tc>
        <w:tc>
          <w:tcPr>
            <w:tcW w:w="1009" w:type="pct"/>
          </w:tcPr>
          <w:p w14:paraId="3ACB9759" w14:textId="1B700AEB" w:rsidR="00170768" w:rsidRPr="00FC38AD" w:rsidRDefault="00170768" w:rsidP="009F481D">
            <w:pPr>
              <w:pStyle w:val="BodyTextGrey"/>
              <w:spacing w:after="20" w:line="240" w:lineRule="auto"/>
              <w:jc w:val="center"/>
              <w:rPr>
                <w:sz w:val="24"/>
                <w:szCs w:val="24"/>
              </w:rPr>
            </w:pPr>
            <w:r w:rsidRPr="00FC38AD">
              <w:rPr>
                <w:sz w:val="24"/>
                <w:szCs w:val="24"/>
              </w:rPr>
              <w:t>1</w:t>
            </w:r>
            <w:r w:rsidR="009911AE" w:rsidRPr="00FC38AD">
              <w:rPr>
                <w:sz w:val="24"/>
                <w:szCs w:val="24"/>
              </w:rPr>
              <w:t>7</w:t>
            </w:r>
            <w:r w:rsidRPr="00FC38AD">
              <w:rPr>
                <w:sz w:val="24"/>
                <w:szCs w:val="24"/>
              </w:rPr>
              <w:t xml:space="preserve"> years</w:t>
            </w:r>
          </w:p>
        </w:tc>
        <w:tc>
          <w:tcPr>
            <w:tcW w:w="624" w:type="pct"/>
          </w:tcPr>
          <w:p w14:paraId="2F79F811" w14:textId="77777777" w:rsidR="00170768" w:rsidRPr="00FC38AD" w:rsidRDefault="00170768" w:rsidP="009F481D">
            <w:pPr>
              <w:pStyle w:val="BodyTextGrey"/>
              <w:spacing w:after="20" w:line="240" w:lineRule="auto"/>
              <w:jc w:val="center"/>
              <w:rPr>
                <w:sz w:val="24"/>
                <w:szCs w:val="24"/>
              </w:rPr>
            </w:pPr>
            <w:r w:rsidRPr="00FC38AD">
              <w:rPr>
                <w:sz w:val="24"/>
                <w:szCs w:val="24"/>
              </w:rPr>
              <w:t>15 years</w:t>
            </w:r>
          </w:p>
        </w:tc>
        <w:tc>
          <w:tcPr>
            <w:tcW w:w="721" w:type="pct"/>
          </w:tcPr>
          <w:p w14:paraId="752E69A2" w14:textId="345F8BCD" w:rsidR="00170768" w:rsidRPr="00FC38AD" w:rsidRDefault="008748D8" w:rsidP="009F481D">
            <w:pPr>
              <w:pStyle w:val="BodyTextGrey"/>
              <w:spacing w:after="20" w:line="240" w:lineRule="auto"/>
              <w:jc w:val="center"/>
              <w:rPr>
                <w:sz w:val="24"/>
                <w:szCs w:val="24"/>
              </w:rPr>
            </w:pPr>
            <w:r w:rsidRPr="00FC38AD">
              <w:rPr>
                <w:sz w:val="24"/>
                <w:szCs w:val="24"/>
              </w:rPr>
              <w:t xml:space="preserve">Expected future working lifetime of active members </w:t>
            </w:r>
          </w:p>
        </w:tc>
        <w:tc>
          <w:tcPr>
            <w:tcW w:w="1158" w:type="pct"/>
          </w:tcPr>
          <w:p w14:paraId="1097544E" w14:textId="77777777" w:rsidR="00170768" w:rsidRPr="00FC38AD" w:rsidRDefault="00170768" w:rsidP="009F481D">
            <w:pPr>
              <w:pStyle w:val="BodyTextGrey"/>
              <w:spacing w:after="20" w:line="240" w:lineRule="auto"/>
              <w:jc w:val="center"/>
              <w:rPr>
                <w:sz w:val="24"/>
                <w:szCs w:val="24"/>
              </w:rPr>
            </w:pPr>
            <w:r w:rsidRPr="00FC38AD">
              <w:rPr>
                <w:sz w:val="24"/>
                <w:szCs w:val="24"/>
              </w:rPr>
              <w:t>Outstanding contract term</w:t>
            </w:r>
          </w:p>
        </w:tc>
      </w:tr>
      <w:tr w:rsidR="008748D8" w:rsidRPr="00EE2337" w14:paraId="15E51AAE" w14:textId="77777777" w:rsidTr="00317572">
        <w:tc>
          <w:tcPr>
            <w:tcW w:w="671" w:type="pct"/>
          </w:tcPr>
          <w:p w14:paraId="7EC55A43" w14:textId="7D5C404D" w:rsidR="00170768" w:rsidRPr="006139D1" w:rsidRDefault="00170768" w:rsidP="009F481D">
            <w:pPr>
              <w:pStyle w:val="BodyTextGrey"/>
              <w:spacing w:after="20" w:line="240" w:lineRule="auto"/>
              <w:rPr>
                <w:b/>
                <w:sz w:val="24"/>
                <w:szCs w:val="24"/>
              </w:rPr>
            </w:pPr>
            <w:r w:rsidRPr="006139D1">
              <w:rPr>
                <w:b/>
                <w:sz w:val="24"/>
                <w:szCs w:val="24"/>
              </w:rPr>
              <w:t xml:space="preserve">Secondary rate – </w:t>
            </w:r>
            <w:hyperlink w:anchor="Noted" w:history="1">
              <w:r w:rsidRPr="006139D1">
                <w:rPr>
                  <w:rStyle w:val="Hyperlink"/>
                  <w:b/>
                  <w:sz w:val="24"/>
                  <w:szCs w:val="24"/>
                </w:rPr>
                <w:t>Note (d)</w:t>
              </w:r>
            </w:hyperlink>
          </w:p>
        </w:tc>
        <w:tc>
          <w:tcPr>
            <w:tcW w:w="817" w:type="pct"/>
          </w:tcPr>
          <w:p w14:paraId="7424CB60" w14:textId="3C15AF34" w:rsidR="00170768" w:rsidRPr="00FC38AD" w:rsidRDefault="00170768" w:rsidP="009F481D">
            <w:pPr>
              <w:pStyle w:val="BodyTextGrey"/>
              <w:spacing w:after="20" w:line="240" w:lineRule="auto"/>
              <w:jc w:val="center"/>
              <w:rPr>
                <w:sz w:val="24"/>
                <w:szCs w:val="24"/>
              </w:rPr>
            </w:pPr>
            <w:r w:rsidRPr="00FC38AD">
              <w:rPr>
                <w:sz w:val="24"/>
                <w:szCs w:val="24"/>
              </w:rPr>
              <w:t>Monetary amount</w:t>
            </w:r>
          </w:p>
        </w:tc>
        <w:tc>
          <w:tcPr>
            <w:tcW w:w="1009" w:type="pct"/>
          </w:tcPr>
          <w:p w14:paraId="530CFB4E" w14:textId="77777777" w:rsidR="00170768" w:rsidRPr="00FC38AD" w:rsidRDefault="00170768" w:rsidP="009F481D">
            <w:pPr>
              <w:pStyle w:val="BodyTextGrey"/>
              <w:spacing w:after="20" w:line="240" w:lineRule="auto"/>
              <w:jc w:val="center"/>
              <w:rPr>
                <w:sz w:val="24"/>
                <w:szCs w:val="24"/>
              </w:rPr>
            </w:pPr>
            <w:r w:rsidRPr="00FC38AD">
              <w:rPr>
                <w:sz w:val="24"/>
                <w:szCs w:val="24"/>
              </w:rPr>
              <w:t>% of payroll</w:t>
            </w:r>
          </w:p>
        </w:tc>
        <w:tc>
          <w:tcPr>
            <w:tcW w:w="624" w:type="pct"/>
          </w:tcPr>
          <w:p w14:paraId="3411D43A" w14:textId="77777777" w:rsidR="00170768" w:rsidRPr="00FC38AD" w:rsidRDefault="00170768" w:rsidP="009F481D">
            <w:pPr>
              <w:pStyle w:val="BodyTextGrey"/>
              <w:spacing w:after="20" w:line="240" w:lineRule="auto"/>
              <w:jc w:val="center"/>
              <w:rPr>
                <w:sz w:val="24"/>
                <w:szCs w:val="24"/>
              </w:rPr>
            </w:pPr>
            <w:r w:rsidRPr="00FC38AD">
              <w:rPr>
                <w:sz w:val="24"/>
                <w:szCs w:val="24"/>
              </w:rPr>
              <w:t>% of payroll</w:t>
            </w:r>
          </w:p>
        </w:tc>
        <w:tc>
          <w:tcPr>
            <w:tcW w:w="721" w:type="pct"/>
          </w:tcPr>
          <w:p w14:paraId="2B077656" w14:textId="77777777" w:rsidR="00170768" w:rsidRPr="00FC38AD" w:rsidRDefault="00170768" w:rsidP="009F481D">
            <w:pPr>
              <w:pStyle w:val="BodyTextGrey"/>
              <w:spacing w:after="20" w:line="240" w:lineRule="auto"/>
              <w:jc w:val="center"/>
              <w:rPr>
                <w:sz w:val="24"/>
                <w:szCs w:val="24"/>
              </w:rPr>
            </w:pPr>
            <w:r w:rsidRPr="00FC38AD">
              <w:rPr>
                <w:sz w:val="24"/>
                <w:szCs w:val="24"/>
              </w:rPr>
              <w:t>Monetary amount</w:t>
            </w:r>
          </w:p>
        </w:tc>
        <w:tc>
          <w:tcPr>
            <w:tcW w:w="1158" w:type="pct"/>
          </w:tcPr>
          <w:p w14:paraId="58537CBC" w14:textId="77777777" w:rsidR="00170768" w:rsidRPr="00FC38AD" w:rsidRDefault="00170768" w:rsidP="009F481D">
            <w:pPr>
              <w:pStyle w:val="BodyTextGrey"/>
              <w:spacing w:after="20" w:line="240" w:lineRule="auto"/>
              <w:jc w:val="center"/>
              <w:rPr>
                <w:sz w:val="24"/>
                <w:szCs w:val="24"/>
              </w:rPr>
            </w:pPr>
            <w:r w:rsidRPr="00FC38AD">
              <w:rPr>
                <w:sz w:val="24"/>
                <w:szCs w:val="24"/>
              </w:rPr>
              <w:t>% of payroll</w:t>
            </w:r>
          </w:p>
        </w:tc>
      </w:tr>
      <w:tr w:rsidR="00317572" w:rsidRPr="00EE2337" w14:paraId="766718EA" w14:textId="77777777" w:rsidTr="00317572">
        <w:tc>
          <w:tcPr>
            <w:tcW w:w="671" w:type="pct"/>
          </w:tcPr>
          <w:p w14:paraId="113D4BA6" w14:textId="77777777" w:rsidR="00317572" w:rsidRPr="006139D1" w:rsidRDefault="00317572" w:rsidP="009F481D">
            <w:pPr>
              <w:pStyle w:val="BodyTextGrey"/>
              <w:spacing w:after="20" w:line="240" w:lineRule="auto"/>
              <w:rPr>
                <w:b/>
                <w:sz w:val="24"/>
                <w:szCs w:val="24"/>
              </w:rPr>
            </w:pPr>
            <w:r w:rsidRPr="006139D1">
              <w:rPr>
                <w:b/>
                <w:sz w:val="24"/>
                <w:szCs w:val="24"/>
              </w:rPr>
              <w:t>Treatment of surplus</w:t>
            </w:r>
          </w:p>
        </w:tc>
        <w:tc>
          <w:tcPr>
            <w:tcW w:w="817" w:type="pct"/>
          </w:tcPr>
          <w:p w14:paraId="778BC8E3" w14:textId="77777777" w:rsidR="00317572" w:rsidRPr="00FC38AD" w:rsidRDefault="00317572" w:rsidP="009F481D">
            <w:pPr>
              <w:pStyle w:val="BodyTextGrey"/>
              <w:spacing w:after="20" w:line="240" w:lineRule="auto"/>
              <w:jc w:val="center"/>
              <w:rPr>
                <w:sz w:val="24"/>
                <w:szCs w:val="24"/>
              </w:rPr>
            </w:pPr>
            <w:r w:rsidRPr="00FC38AD">
              <w:rPr>
                <w:sz w:val="24"/>
                <w:szCs w:val="24"/>
              </w:rPr>
              <w:t>Covered by stabilisation arrangement</w:t>
            </w:r>
          </w:p>
        </w:tc>
        <w:tc>
          <w:tcPr>
            <w:tcW w:w="2354" w:type="pct"/>
            <w:gridSpan w:val="3"/>
          </w:tcPr>
          <w:p w14:paraId="5018FE7B" w14:textId="60F55D70" w:rsidR="00317572" w:rsidRPr="00FC38AD" w:rsidRDefault="00317572" w:rsidP="008748D8">
            <w:pPr>
              <w:pStyle w:val="BodyTextGrey"/>
              <w:spacing w:after="20" w:line="240" w:lineRule="auto"/>
              <w:jc w:val="center"/>
              <w:rPr>
                <w:sz w:val="24"/>
                <w:szCs w:val="24"/>
              </w:rPr>
            </w:pPr>
            <w:r w:rsidRPr="00FC38AD">
              <w:rPr>
                <w:sz w:val="24"/>
                <w:szCs w:val="24"/>
              </w:rPr>
              <w:t>Preferred approach: contributions kept at Primary rate. However, reductions may be permitted by the Admin. Authority</w:t>
            </w:r>
          </w:p>
        </w:tc>
        <w:tc>
          <w:tcPr>
            <w:tcW w:w="1158" w:type="pct"/>
          </w:tcPr>
          <w:p w14:paraId="69E7A30D" w14:textId="77777777" w:rsidR="00317572" w:rsidRPr="00FC38AD" w:rsidRDefault="00317572" w:rsidP="009F481D">
            <w:pPr>
              <w:pStyle w:val="BodyTextGrey"/>
              <w:spacing w:after="20" w:line="240" w:lineRule="auto"/>
              <w:jc w:val="center"/>
              <w:rPr>
                <w:sz w:val="24"/>
                <w:szCs w:val="24"/>
              </w:rPr>
            </w:pPr>
            <w:r w:rsidRPr="00FC38AD">
              <w:rPr>
                <w:sz w:val="24"/>
                <w:szCs w:val="24"/>
              </w:rPr>
              <w:t>Reduce contributions by spreading the surplus over the remaining contract term</w:t>
            </w:r>
          </w:p>
        </w:tc>
      </w:tr>
      <w:tr w:rsidR="001134B7" w:rsidRPr="00EE2337" w14:paraId="6664F9D5" w14:textId="77777777" w:rsidTr="001134B7">
        <w:trPr>
          <w:trHeight w:val="511"/>
        </w:trPr>
        <w:tc>
          <w:tcPr>
            <w:tcW w:w="671" w:type="pct"/>
          </w:tcPr>
          <w:p w14:paraId="6C33B820" w14:textId="5082F450" w:rsidR="001134B7" w:rsidRPr="006139D1" w:rsidRDefault="00684370" w:rsidP="009F481D">
            <w:pPr>
              <w:pStyle w:val="BodyTextGrey"/>
              <w:spacing w:after="20" w:line="240" w:lineRule="auto"/>
              <w:rPr>
                <w:b/>
                <w:sz w:val="24"/>
                <w:szCs w:val="24"/>
              </w:rPr>
            </w:pPr>
            <w:r w:rsidRPr="006139D1">
              <w:rPr>
                <w:b/>
                <w:sz w:val="24"/>
                <w:szCs w:val="24"/>
              </w:rPr>
              <w:t xml:space="preserve">Likelihood </w:t>
            </w:r>
            <w:r w:rsidR="001134B7" w:rsidRPr="006139D1">
              <w:rPr>
                <w:b/>
                <w:sz w:val="24"/>
                <w:szCs w:val="24"/>
              </w:rPr>
              <w:t xml:space="preserve">of achieving target – </w:t>
            </w:r>
            <w:hyperlink w:anchor="Notee" w:history="1">
              <w:r w:rsidR="001134B7" w:rsidRPr="006139D1">
                <w:rPr>
                  <w:rStyle w:val="Hyperlink"/>
                  <w:b/>
                  <w:sz w:val="24"/>
                  <w:szCs w:val="24"/>
                </w:rPr>
                <w:t>Note (e)</w:t>
              </w:r>
            </w:hyperlink>
          </w:p>
        </w:tc>
        <w:tc>
          <w:tcPr>
            <w:tcW w:w="4329" w:type="pct"/>
            <w:gridSpan w:val="5"/>
          </w:tcPr>
          <w:p w14:paraId="6E84595B" w14:textId="4AE38DC8" w:rsidR="001134B7" w:rsidRPr="00FC38AD" w:rsidRDefault="001134B7" w:rsidP="001134B7">
            <w:pPr>
              <w:pStyle w:val="BodyTextGrey"/>
              <w:spacing w:after="20" w:line="240" w:lineRule="auto"/>
              <w:jc w:val="center"/>
              <w:rPr>
                <w:sz w:val="24"/>
                <w:szCs w:val="24"/>
              </w:rPr>
            </w:pPr>
            <w:r w:rsidRPr="00FC38AD">
              <w:rPr>
                <w:sz w:val="24"/>
                <w:szCs w:val="24"/>
              </w:rPr>
              <w:t xml:space="preserve">The fund has carried out an employer risk profiling exercise and an appropriate level of probability for achieving target has been attributed to each employer according to that profile. The probability levels applied are </w:t>
            </w:r>
            <w:r w:rsidR="009911AE" w:rsidRPr="00FC38AD">
              <w:rPr>
                <w:sz w:val="24"/>
                <w:szCs w:val="24"/>
              </w:rPr>
              <w:t>55, 70</w:t>
            </w:r>
            <w:r w:rsidRPr="00FC38AD">
              <w:rPr>
                <w:sz w:val="24"/>
                <w:szCs w:val="24"/>
              </w:rPr>
              <w:t>%, 75%, or 80%.</w:t>
            </w:r>
          </w:p>
        </w:tc>
      </w:tr>
      <w:tr w:rsidR="008748D8" w:rsidRPr="00EE2337" w14:paraId="70ED55F3" w14:textId="77777777" w:rsidTr="00317572">
        <w:tc>
          <w:tcPr>
            <w:tcW w:w="671" w:type="pct"/>
          </w:tcPr>
          <w:p w14:paraId="4AD1514C" w14:textId="77777777" w:rsidR="00170768" w:rsidRPr="006139D1" w:rsidRDefault="00170768" w:rsidP="009F481D">
            <w:pPr>
              <w:pStyle w:val="BodyTextGrey"/>
              <w:spacing w:after="20" w:line="240" w:lineRule="auto"/>
              <w:rPr>
                <w:b/>
                <w:sz w:val="24"/>
                <w:szCs w:val="24"/>
              </w:rPr>
            </w:pPr>
            <w:r w:rsidRPr="006139D1">
              <w:rPr>
                <w:b/>
                <w:sz w:val="24"/>
                <w:szCs w:val="24"/>
              </w:rPr>
              <w:t>Phasing of contribution changes</w:t>
            </w:r>
          </w:p>
        </w:tc>
        <w:tc>
          <w:tcPr>
            <w:tcW w:w="817" w:type="pct"/>
          </w:tcPr>
          <w:p w14:paraId="5B28A02F" w14:textId="77777777" w:rsidR="00170768" w:rsidRPr="006139D1" w:rsidRDefault="00170768" w:rsidP="009F481D">
            <w:pPr>
              <w:pStyle w:val="BodyTextGrey"/>
              <w:spacing w:after="20" w:line="240" w:lineRule="auto"/>
              <w:jc w:val="center"/>
              <w:rPr>
                <w:sz w:val="24"/>
                <w:szCs w:val="24"/>
              </w:rPr>
            </w:pPr>
            <w:r w:rsidRPr="006139D1">
              <w:rPr>
                <w:sz w:val="24"/>
                <w:szCs w:val="24"/>
              </w:rPr>
              <w:t>Covered by stabilisation arrangement</w:t>
            </w:r>
          </w:p>
        </w:tc>
        <w:tc>
          <w:tcPr>
            <w:tcW w:w="1009" w:type="pct"/>
          </w:tcPr>
          <w:p w14:paraId="55B79D25" w14:textId="099E635F" w:rsidR="00170768" w:rsidRPr="006139D1" w:rsidRDefault="00AF7B46" w:rsidP="009F481D">
            <w:pPr>
              <w:pStyle w:val="BodyTextGrey"/>
              <w:spacing w:after="20" w:line="240" w:lineRule="auto"/>
              <w:jc w:val="center"/>
              <w:rPr>
                <w:sz w:val="24"/>
                <w:szCs w:val="24"/>
              </w:rPr>
            </w:pPr>
            <w:r w:rsidRPr="006139D1">
              <w:rPr>
                <w:sz w:val="24"/>
                <w:szCs w:val="24"/>
              </w:rPr>
              <w:t>3 years</w:t>
            </w:r>
          </w:p>
        </w:tc>
        <w:tc>
          <w:tcPr>
            <w:tcW w:w="624" w:type="pct"/>
          </w:tcPr>
          <w:p w14:paraId="00147C12" w14:textId="525D510C" w:rsidR="00170768" w:rsidRPr="006139D1" w:rsidRDefault="00170768" w:rsidP="0084125F">
            <w:pPr>
              <w:pStyle w:val="BodyTextGrey"/>
              <w:spacing w:after="20" w:line="240" w:lineRule="auto"/>
              <w:jc w:val="center"/>
              <w:rPr>
                <w:sz w:val="24"/>
                <w:szCs w:val="24"/>
              </w:rPr>
            </w:pPr>
            <w:r w:rsidRPr="006139D1">
              <w:rPr>
                <w:sz w:val="24"/>
                <w:szCs w:val="24"/>
              </w:rPr>
              <w:t>3 years</w:t>
            </w:r>
            <w:r w:rsidRPr="006139D1">
              <w:rPr>
                <w:sz w:val="24"/>
                <w:szCs w:val="24"/>
              </w:rPr>
              <w:br/>
            </w:r>
          </w:p>
        </w:tc>
        <w:tc>
          <w:tcPr>
            <w:tcW w:w="721" w:type="pct"/>
          </w:tcPr>
          <w:p w14:paraId="2CE87A09" w14:textId="1A3C274A" w:rsidR="00170768" w:rsidRPr="006139D1" w:rsidRDefault="00170768" w:rsidP="0084125F">
            <w:pPr>
              <w:pStyle w:val="BodyTextGrey"/>
              <w:spacing w:after="20" w:line="240" w:lineRule="auto"/>
              <w:jc w:val="center"/>
              <w:rPr>
                <w:sz w:val="24"/>
                <w:szCs w:val="24"/>
              </w:rPr>
            </w:pPr>
            <w:r w:rsidRPr="006139D1">
              <w:rPr>
                <w:sz w:val="24"/>
                <w:szCs w:val="24"/>
              </w:rPr>
              <w:t>3 years</w:t>
            </w:r>
            <w:r w:rsidRPr="006139D1">
              <w:rPr>
                <w:sz w:val="24"/>
                <w:szCs w:val="24"/>
              </w:rPr>
              <w:br/>
            </w:r>
          </w:p>
        </w:tc>
        <w:tc>
          <w:tcPr>
            <w:tcW w:w="1158" w:type="pct"/>
          </w:tcPr>
          <w:p w14:paraId="6D9E6749" w14:textId="77777777" w:rsidR="00170768" w:rsidRPr="006139D1" w:rsidRDefault="00170768" w:rsidP="009F481D">
            <w:pPr>
              <w:pStyle w:val="BodyTextGrey"/>
              <w:spacing w:after="20" w:line="240" w:lineRule="auto"/>
              <w:jc w:val="center"/>
              <w:rPr>
                <w:sz w:val="24"/>
                <w:szCs w:val="24"/>
              </w:rPr>
            </w:pPr>
            <w:r w:rsidRPr="006139D1">
              <w:rPr>
                <w:sz w:val="24"/>
                <w:szCs w:val="24"/>
              </w:rPr>
              <w:t>None</w:t>
            </w:r>
          </w:p>
        </w:tc>
      </w:tr>
      <w:tr w:rsidR="00486376" w:rsidRPr="00EE2337" w14:paraId="7421E29D" w14:textId="77777777" w:rsidTr="00486376">
        <w:tc>
          <w:tcPr>
            <w:tcW w:w="671" w:type="pct"/>
          </w:tcPr>
          <w:p w14:paraId="5C0743FC" w14:textId="745BBDA2" w:rsidR="00486376" w:rsidRPr="006139D1" w:rsidRDefault="00486376" w:rsidP="009F481D">
            <w:pPr>
              <w:pStyle w:val="BodyTextGrey"/>
              <w:spacing w:after="20" w:line="240" w:lineRule="auto"/>
              <w:rPr>
                <w:b/>
                <w:sz w:val="24"/>
                <w:szCs w:val="24"/>
              </w:rPr>
            </w:pPr>
            <w:r w:rsidRPr="006139D1">
              <w:rPr>
                <w:b/>
                <w:sz w:val="24"/>
                <w:szCs w:val="24"/>
              </w:rPr>
              <w:lastRenderedPageBreak/>
              <w:t xml:space="preserve">Review of rates – </w:t>
            </w:r>
            <w:hyperlink w:anchor="Notef" w:history="1">
              <w:r w:rsidRPr="006139D1">
                <w:rPr>
                  <w:rStyle w:val="Hyperlink"/>
                  <w:b/>
                  <w:sz w:val="24"/>
                  <w:szCs w:val="24"/>
                </w:rPr>
                <w:t>Note (f)</w:t>
              </w:r>
            </w:hyperlink>
          </w:p>
        </w:tc>
        <w:tc>
          <w:tcPr>
            <w:tcW w:w="4329" w:type="pct"/>
            <w:gridSpan w:val="5"/>
          </w:tcPr>
          <w:p w14:paraId="2BDD8616" w14:textId="167319B5" w:rsidR="00486376" w:rsidRDefault="00486376" w:rsidP="009F481D">
            <w:pPr>
              <w:pStyle w:val="BodyTextGrey"/>
              <w:spacing w:after="20" w:line="240" w:lineRule="auto"/>
              <w:jc w:val="center"/>
              <w:rPr>
                <w:sz w:val="24"/>
                <w:szCs w:val="24"/>
              </w:rPr>
            </w:pPr>
            <w:r w:rsidRPr="00054A7E">
              <w:rPr>
                <w:sz w:val="24"/>
                <w:szCs w:val="24"/>
              </w:rPr>
              <w:t>Contribution rates and amounts, and the level of security provided, may be reviewed between valuations in line with Regulations</w:t>
            </w:r>
          </w:p>
          <w:p w14:paraId="1E8F2241" w14:textId="0CED8326" w:rsidR="00486376" w:rsidRPr="006139D1" w:rsidRDefault="00486376" w:rsidP="00872580">
            <w:pPr>
              <w:pStyle w:val="BodyTextGrey"/>
              <w:spacing w:after="20" w:line="240" w:lineRule="auto"/>
              <w:jc w:val="center"/>
              <w:rPr>
                <w:sz w:val="24"/>
                <w:szCs w:val="24"/>
              </w:rPr>
            </w:pPr>
          </w:p>
        </w:tc>
      </w:tr>
      <w:tr w:rsidR="00AF7B46" w:rsidRPr="00EE2337" w14:paraId="1A1C0926" w14:textId="77777777" w:rsidTr="00317572">
        <w:tc>
          <w:tcPr>
            <w:tcW w:w="671" w:type="pct"/>
          </w:tcPr>
          <w:p w14:paraId="52FF9A6B" w14:textId="77777777" w:rsidR="00AF7B46" w:rsidRPr="006139D1" w:rsidRDefault="00AF7B46" w:rsidP="009F481D">
            <w:pPr>
              <w:pStyle w:val="BodyTextGrey"/>
              <w:spacing w:after="20" w:line="240" w:lineRule="auto"/>
              <w:rPr>
                <w:b/>
                <w:sz w:val="24"/>
                <w:szCs w:val="24"/>
              </w:rPr>
            </w:pPr>
            <w:r w:rsidRPr="006139D1">
              <w:rPr>
                <w:b/>
                <w:sz w:val="24"/>
                <w:szCs w:val="24"/>
              </w:rPr>
              <w:t>New employer</w:t>
            </w:r>
          </w:p>
        </w:tc>
        <w:tc>
          <w:tcPr>
            <w:tcW w:w="817" w:type="pct"/>
          </w:tcPr>
          <w:p w14:paraId="32D3DE9A" w14:textId="77777777" w:rsidR="00AF7B46" w:rsidRPr="006139D1" w:rsidRDefault="00AF7B46" w:rsidP="009F481D">
            <w:pPr>
              <w:pStyle w:val="BodyTextGrey"/>
              <w:spacing w:after="20" w:line="240" w:lineRule="auto"/>
              <w:jc w:val="center"/>
              <w:rPr>
                <w:sz w:val="24"/>
                <w:szCs w:val="24"/>
              </w:rPr>
            </w:pPr>
            <w:r w:rsidRPr="006139D1">
              <w:rPr>
                <w:sz w:val="24"/>
                <w:szCs w:val="24"/>
              </w:rPr>
              <w:t>n/a</w:t>
            </w:r>
          </w:p>
        </w:tc>
        <w:tc>
          <w:tcPr>
            <w:tcW w:w="1009" w:type="pct"/>
          </w:tcPr>
          <w:p w14:paraId="40498757" w14:textId="4EA802BF" w:rsidR="00AF7B46" w:rsidRPr="006139D1" w:rsidRDefault="002F7970" w:rsidP="009F481D">
            <w:pPr>
              <w:pStyle w:val="BodyTextGrey"/>
              <w:spacing w:after="20" w:line="240" w:lineRule="auto"/>
              <w:jc w:val="center"/>
              <w:rPr>
                <w:sz w:val="24"/>
                <w:szCs w:val="24"/>
              </w:rPr>
            </w:pPr>
            <w:hyperlink w:anchor="Noteg" w:history="1">
              <w:r w:rsidR="00AF7B46" w:rsidRPr="006139D1">
                <w:rPr>
                  <w:rStyle w:val="Hyperlink"/>
                  <w:sz w:val="24"/>
                  <w:szCs w:val="24"/>
                </w:rPr>
                <w:t>Note (g)</w:t>
              </w:r>
            </w:hyperlink>
          </w:p>
        </w:tc>
        <w:tc>
          <w:tcPr>
            <w:tcW w:w="1345" w:type="pct"/>
            <w:gridSpan w:val="2"/>
          </w:tcPr>
          <w:p w14:paraId="5FD9EDEB" w14:textId="77777777" w:rsidR="00AF7B46" w:rsidRPr="006139D1" w:rsidRDefault="002F7970" w:rsidP="009F481D">
            <w:pPr>
              <w:pStyle w:val="BodyTextGrey"/>
              <w:spacing w:after="20" w:line="240" w:lineRule="auto"/>
              <w:jc w:val="center"/>
              <w:rPr>
                <w:sz w:val="24"/>
                <w:szCs w:val="24"/>
              </w:rPr>
            </w:pPr>
            <w:hyperlink w:anchor="Noteh" w:history="1">
              <w:r w:rsidR="00AF7B46" w:rsidRPr="006139D1">
                <w:rPr>
                  <w:rStyle w:val="Hyperlink"/>
                  <w:sz w:val="24"/>
                  <w:szCs w:val="24"/>
                </w:rPr>
                <w:t>Note (h)</w:t>
              </w:r>
            </w:hyperlink>
          </w:p>
        </w:tc>
        <w:tc>
          <w:tcPr>
            <w:tcW w:w="1158" w:type="pct"/>
          </w:tcPr>
          <w:p w14:paraId="46893DFE" w14:textId="77777777" w:rsidR="00AF7B46" w:rsidRPr="006139D1" w:rsidRDefault="002F7970" w:rsidP="009F481D">
            <w:pPr>
              <w:pStyle w:val="BodyTextGrey"/>
              <w:spacing w:after="20" w:line="240" w:lineRule="auto"/>
              <w:jc w:val="center"/>
              <w:rPr>
                <w:sz w:val="24"/>
                <w:szCs w:val="24"/>
              </w:rPr>
            </w:pPr>
            <w:hyperlink w:anchor="Noteh" w:history="1">
              <w:r w:rsidR="00AF7B46" w:rsidRPr="006139D1">
                <w:rPr>
                  <w:rStyle w:val="Hyperlink"/>
                  <w:sz w:val="24"/>
                  <w:szCs w:val="24"/>
                </w:rPr>
                <w:t>Notes (h)</w:t>
              </w:r>
            </w:hyperlink>
            <w:r w:rsidR="00AF7B46" w:rsidRPr="006139D1">
              <w:rPr>
                <w:sz w:val="24"/>
                <w:szCs w:val="24"/>
              </w:rPr>
              <w:t xml:space="preserve"> </w:t>
            </w:r>
            <w:hyperlink w:anchor="Notei" w:history="1">
              <w:r w:rsidR="00AF7B46" w:rsidRPr="006139D1">
                <w:rPr>
                  <w:rStyle w:val="Hyperlink"/>
                  <w:sz w:val="24"/>
                  <w:szCs w:val="24"/>
                </w:rPr>
                <w:t>&amp; (</w:t>
              </w:r>
              <w:proofErr w:type="spellStart"/>
              <w:r w:rsidR="00AF7B46" w:rsidRPr="006139D1">
                <w:rPr>
                  <w:rStyle w:val="Hyperlink"/>
                  <w:sz w:val="24"/>
                  <w:szCs w:val="24"/>
                </w:rPr>
                <w:t>i</w:t>
              </w:r>
              <w:proofErr w:type="spellEnd"/>
              <w:r w:rsidR="00AF7B46" w:rsidRPr="006139D1">
                <w:rPr>
                  <w:rStyle w:val="Hyperlink"/>
                  <w:sz w:val="24"/>
                  <w:szCs w:val="24"/>
                </w:rPr>
                <w:t>)</w:t>
              </w:r>
            </w:hyperlink>
          </w:p>
        </w:tc>
      </w:tr>
      <w:tr w:rsidR="00A54312" w:rsidRPr="00EE2337" w14:paraId="64F8304B" w14:textId="77777777" w:rsidTr="00317572">
        <w:tc>
          <w:tcPr>
            <w:tcW w:w="671" w:type="pct"/>
          </w:tcPr>
          <w:p w14:paraId="4097C268" w14:textId="64270D35" w:rsidR="00A54312" w:rsidRPr="006139D1" w:rsidRDefault="00A54312" w:rsidP="009F481D">
            <w:pPr>
              <w:pStyle w:val="BodyTextGrey"/>
              <w:spacing w:after="20" w:line="240" w:lineRule="auto"/>
              <w:rPr>
                <w:b/>
                <w:sz w:val="24"/>
                <w:szCs w:val="24"/>
              </w:rPr>
            </w:pPr>
            <w:r w:rsidRPr="006139D1">
              <w:rPr>
                <w:b/>
                <w:sz w:val="24"/>
                <w:szCs w:val="24"/>
              </w:rPr>
              <w:t xml:space="preserve">Cessation of participation: </w:t>
            </w:r>
            <w:r w:rsidR="0094273F" w:rsidRPr="006139D1">
              <w:rPr>
                <w:b/>
                <w:sz w:val="24"/>
                <w:szCs w:val="24"/>
              </w:rPr>
              <w:t xml:space="preserve">exit </w:t>
            </w:r>
            <w:proofErr w:type="spellStart"/>
            <w:r w:rsidRPr="006139D1">
              <w:rPr>
                <w:b/>
                <w:sz w:val="24"/>
                <w:szCs w:val="24"/>
              </w:rPr>
              <w:t>debt</w:t>
            </w:r>
            <w:r w:rsidR="009B19D1" w:rsidRPr="006139D1">
              <w:rPr>
                <w:b/>
                <w:sz w:val="24"/>
                <w:szCs w:val="24"/>
              </w:rPr>
              <w:t>credit</w:t>
            </w:r>
            <w:proofErr w:type="spellEnd"/>
            <w:r w:rsidRPr="006139D1">
              <w:rPr>
                <w:b/>
                <w:sz w:val="24"/>
                <w:szCs w:val="24"/>
              </w:rPr>
              <w:t xml:space="preserve"> payable</w:t>
            </w:r>
          </w:p>
        </w:tc>
        <w:tc>
          <w:tcPr>
            <w:tcW w:w="1826" w:type="pct"/>
            <w:gridSpan w:val="2"/>
          </w:tcPr>
          <w:p w14:paraId="1909F430" w14:textId="49329746" w:rsidR="00A54312" w:rsidRPr="006139D1" w:rsidRDefault="00A54312" w:rsidP="009B19D1">
            <w:pPr>
              <w:pStyle w:val="BodyTextGrey"/>
              <w:spacing w:after="20" w:line="240" w:lineRule="auto"/>
              <w:jc w:val="center"/>
              <w:rPr>
                <w:sz w:val="24"/>
                <w:szCs w:val="24"/>
              </w:rPr>
            </w:pPr>
            <w:r w:rsidRPr="006139D1">
              <w:rPr>
                <w:sz w:val="24"/>
                <w:szCs w:val="24"/>
              </w:rPr>
              <w:t xml:space="preserve">Cessation is assumed not to be generally possible, as Scheduled Bodies are legally obliged to participate in the LGPS. </w:t>
            </w:r>
            <w:r w:rsidR="009F481D" w:rsidRPr="006139D1">
              <w:rPr>
                <w:sz w:val="24"/>
                <w:szCs w:val="24"/>
              </w:rPr>
              <w:t xml:space="preserve"> </w:t>
            </w:r>
            <w:r w:rsidRPr="006139D1">
              <w:rPr>
                <w:sz w:val="24"/>
                <w:szCs w:val="24"/>
              </w:rPr>
              <w:t>In the rare event of cessation occurring</w:t>
            </w:r>
            <w:r w:rsidR="00F83F3E" w:rsidRPr="006139D1">
              <w:rPr>
                <w:sz w:val="24"/>
                <w:szCs w:val="24"/>
              </w:rPr>
              <w:t xml:space="preserve"> (machinery of Government changes for example)</w:t>
            </w:r>
            <w:r w:rsidRPr="006139D1">
              <w:rPr>
                <w:sz w:val="24"/>
                <w:szCs w:val="24"/>
              </w:rPr>
              <w:t xml:space="preserve">, the cessation </w:t>
            </w:r>
            <w:r w:rsidR="009B19D1" w:rsidRPr="006139D1">
              <w:rPr>
                <w:sz w:val="24"/>
                <w:szCs w:val="24"/>
              </w:rPr>
              <w:t>calculation</w:t>
            </w:r>
            <w:r w:rsidRPr="006139D1">
              <w:rPr>
                <w:sz w:val="24"/>
                <w:szCs w:val="24"/>
              </w:rPr>
              <w:t xml:space="preserve"> principles applied would be as per </w:t>
            </w:r>
            <w:hyperlink w:anchor="Notej" w:history="1">
              <w:r w:rsidRPr="006139D1">
                <w:rPr>
                  <w:rStyle w:val="Hyperlink"/>
                  <w:sz w:val="24"/>
                  <w:szCs w:val="24"/>
                </w:rPr>
                <w:t>Note (j)</w:t>
              </w:r>
            </w:hyperlink>
            <w:r w:rsidRPr="006139D1">
              <w:rPr>
                <w:sz w:val="24"/>
                <w:szCs w:val="24"/>
              </w:rPr>
              <w:t>.</w:t>
            </w:r>
          </w:p>
        </w:tc>
        <w:tc>
          <w:tcPr>
            <w:tcW w:w="1345" w:type="pct"/>
            <w:gridSpan w:val="2"/>
          </w:tcPr>
          <w:p w14:paraId="2DE99833" w14:textId="6655DFBA" w:rsidR="00A54312" w:rsidRPr="006139D1" w:rsidRDefault="00A54312" w:rsidP="009F481D">
            <w:pPr>
              <w:pStyle w:val="BodyTextGrey"/>
              <w:spacing w:after="20" w:line="240" w:lineRule="auto"/>
              <w:jc w:val="center"/>
              <w:rPr>
                <w:sz w:val="24"/>
                <w:szCs w:val="24"/>
              </w:rPr>
            </w:pPr>
            <w:r w:rsidRPr="006139D1">
              <w:rPr>
                <w:sz w:val="24"/>
                <w:szCs w:val="24"/>
              </w:rPr>
              <w:t xml:space="preserve">Can be ceased subject to terms of admission agreement. </w:t>
            </w:r>
            <w:r w:rsidR="009F481D" w:rsidRPr="006139D1">
              <w:rPr>
                <w:sz w:val="24"/>
                <w:szCs w:val="24"/>
              </w:rPr>
              <w:t xml:space="preserve"> </w:t>
            </w:r>
            <w:r w:rsidR="0094273F" w:rsidRPr="006139D1">
              <w:rPr>
                <w:sz w:val="24"/>
                <w:szCs w:val="24"/>
              </w:rPr>
              <w:t xml:space="preserve">Exit  </w:t>
            </w:r>
            <w:proofErr w:type="spellStart"/>
            <w:r w:rsidRPr="006139D1">
              <w:rPr>
                <w:sz w:val="24"/>
                <w:szCs w:val="24"/>
              </w:rPr>
              <w:t>debt</w:t>
            </w:r>
            <w:proofErr w:type="spellEnd"/>
            <w:r w:rsidR="009B19D1" w:rsidRPr="006139D1">
              <w:rPr>
                <w:sz w:val="24"/>
                <w:szCs w:val="24"/>
              </w:rPr>
              <w:t>/credit</w:t>
            </w:r>
            <w:r w:rsidRPr="006139D1">
              <w:rPr>
                <w:sz w:val="24"/>
                <w:szCs w:val="24"/>
              </w:rPr>
              <w:t xml:space="preserve"> will be calculated on a basis appropriate to the circumstances of cessation – see </w:t>
            </w:r>
            <w:hyperlink w:anchor="Notej" w:history="1">
              <w:r w:rsidRPr="006139D1">
                <w:rPr>
                  <w:rStyle w:val="Hyperlink"/>
                  <w:sz w:val="24"/>
                  <w:szCs w:val="24"/>
                </w:rPr>
                <w:t>Note (j)</w:t>
              </w:r>
            </w:hyperlink>
            <w:r w:rsidRPr="006139D1">
              <w:rPr>
                <w:sz w:val="24"/>
                <w:szCs w:val="24"/>
              </w:rPr>
              <w:t>.</w:t>
            </w:r>
          </w:p>
        </w:tc>
        <w:tc>
          <w:tcPr>
            <w:tcW w:w="1158" w:type="pct"/>
          </w:tcPr>
          <w:p w14:paraId="7580B04B" w14:textId="4781EF43" w:rsidR="00A54312" w:rsidRPr="006139D1" w:rsidRDefault="00A54312" w:rsidP="009B19D1">
            <w:pPr>
              <w:pStyle w:val="BodyTextGrey"/>
              <w:spacing w:after="20" w:line="240" w:lineRule="auto"/>
              <w:jc w:val="center"/>
              <w:rPr>
                <w:sz w:val="24"/>
                <w:szCs w:val="24"/>
              </w:rPr>
            </w:pPr>
            <w:r w:rsidRPr="006139D1">
              <w:rPr>
                <w:sz w:val="24"/>
                <w:szCs w:val="24"/>
              </w:rPr>
              <w:t xml:space="preserve">Participation is assumed to expire at the end of the contract. </w:t>
            </w:r>
            <w:r w:rsidR="009F481D" w:rsidRPr="006139D1">
              <w:rPr>
                <w:sz w:val="24"/>
                <w:szCs w:val="24"/>
              </w:rPr>
              <w:t xml:space="preserve"> </w:t>
            </w:r>
            <w:r w:rsidRPr="006139D1">
              <w:rPr>
                <w:sz w:val="24"/>
                <w:szCs w:val="24"/>
              </w:rPr>
              <w:t xml:space="preserve">Cessation </w:t>
            </w:r>
            <w:proofErr w:type="spellStart"/>
            <w:r w:rsidRPr="006139D1">
              <w:rPr>
                <w:sz w:val="24"/>
                <w:szCs w:val="24"/>
              </w:rPr>
              <w:t>debt</w:t>
            </w:r>
            <w:proofErr w:type="spellEnd"/>
            <w:r w:rsidR="009B19D1" w:rsidRPr="006139D1">
              <w:rPr>
                <w:sz w:val="24"/>
                <w:szCs w:val="24"/>
              </w:rPr>
              <w:t>/</w:t>
            </w:r>
            <w:r w:rsidR="0094273F" w:rsidRPr="006139D1">
              <w:rPr>
                <w:sz w:val="24"/>
                <w:szCs w:val="24"/>
              </w:rPr>
              <w:t>credit</w:t>
            </w:r>
            <w:r w:rsidRPr="006139D1">
              <w:rPr>
                <w:sz w:val="24"/>
                <w:szCs w:val="24"/>
              </w:rPr>
              <w:t xml:space="preserve"> calculated on </w:t>
            </w:r>
            <w:r w:rsidR="0094273F" w:rsidRPr="006139D1">
              <w:rPr>
                <w:sz w:val="24"/>
                <w:szCs w:val="24"/>
              </w:rPr>
              <w:t xml:space="preserve">the contractor exit </w:t>
            </w:r>
            <w:r w:rsidRPr="006139D1">
              <w:rPr>
                <w:sz w:val="24"/>
                <w:szCs w:val="24"/>
              </w:rPr>
              <w:t>ongoing basis</w:t>
            </w:r>
            <w:r w:rsidR="009B19D1" w:rsidRPr="006139D1">
              <w:rPr>
                <w:sz w:val="24"/>
                <w:szCs w:val="24"/>
              </w:rPr>
              <w:t>,</w:t>
            </w:r>
            <w:r w:rsidR="009B19D1" w:rsidRPr="006139D1">
              <w:rPr>
                <w:rFonts w:eastAsia="Calibri"/>
                <w:sz w:val="24"/>
                <w:szCs w:val="24"/>
              </w:rPr>
              <w:t xml:space="preserve"> unless admission terminated early in which case gilts cessation basis is used.</w:t>
            </w:r>
          </w:p>
        </w:tc>
      </w:tr>
    </w:tbl>
    <w:p w14:paraId="517272CD" w14:textId="5EC4CA49" w:rsidR="00612ACF" w:rsidRPr="00416A92" w:rsidRDefault="00612ACF" w:rsidP="00612ACF">
      <w:pPr>
        <w:spacing w:after="200"/>
        <w:jc w:val="left"/>
        <w:rPr>
          <w:color w:val="455560"/>
          <w:sz w:val="24"/>
          <w:szCs w:val="24"/>
          <w:lang w:eastAsia="en-US"/>
        </w:rPr>
      </w:pPr>
      <w:r w:rsidRPr="006139D1">
        <w:rPr>
          <w:color w:val="455560"/>
          <w:sz w:val="24"/>
          <w:szCs w:val="24"/>
          <w:lang w:eastAsia="en-US"/>
        </w:rPr>
        <w:t xml:space="preserve">* Where the Administering Authority recognises a fixed contribution rate agreement between a letting authority and a contractor, the certified employer contribution rate will be derived in line with the methodology specified in the risk sharing agreement.  Additionally, in these cases, upon cessation the contractor’s assets and liabilities will transfer back to the letting employer with no crystallisation of any deficit or surplus. Further detail on fixed contribution rate agreements is set out in </w:t>
      </w:r>
      <w:hyperlink w:anchor="Notei" w:history="1">
        <w:r w:rsidR="00416A92">
          <w:rPr>
            <w:color w:val="0000FF"/>
            <w:sz w:val="24"/>
            <w:szCs w:val="24"/>
            <w:u w:val="single"/>
            <w:lang w:eastAsia="en-US"/>
          </w:rPr>
          <w:t>`</w:t>
        </w:r>
      </w:hyperlink>
      <w:r w:rsidRPr="006139D1">
        <w:rPr>
          <w:color w:val="455560"/>
          <w:sz w:val="24"/>
          <w:szCs w:val="24"/>
          <w:lang w:eastAsia="en-US"/>
        </w:rPr>
        <w:t>.</w:t>
      </w:r>
    </w:p>
    <w:p w14:paraId="02B82D3B" w14:textId="77777777" w:rsidR="00BA6376" w:rsidRPr="00416A92" w:rsidRDefault="00BA6376" w:rsidP="00AF7B46">
      <w:pPr>
        <w:rPr>
          <w:sz w:val="24"/>
          <w:szCs w:val="24"/>
        </w:rPr>
        <w:sectPr w:rsidR="00BA6376" w:rsidRPr="00416A92" w:rsidSect="00557E3C">
          <w:headerReference w:type="default" r:id="rId26"/>
          <w:pgSz w:w="16838" w:h="11906" w:orient="landscape" w:code="9"/>
          <w:pgMar w:top="1134" w:right="1814" w:bottom="851" w:left="1134" w:header="720" w:footer="284" w:gutter="0"/>
          <w:cols w:space="708"/>
          <w:docGrid w:linePitch="360"/>
        </w:sectPr>
      </w:pPr>
    </w:p>
    <w:p w14:paraId="1846F6D0" w14:textId="3E913068" w:rsidR="00E03C64" w:rsidRPr="00416A92" w:rsidRDefault="00E03C64" w:rsidP="00E03C64">
      <w:pPr>
        <w:pStyle w:val="BodyTextGrey"/>
        <w:rPr>
          <w:sz w:val="24"/>
          <w:szCs w:val="24"/>
        </w:rPr>
      </w:pPr>
      <w:bookmarkStart w:id="17" w:name="Notea"/>
      <w:r w:rsidRPr="00416A92">
        <w:rPr>
          <w:rStyle w:val="Heading3Char"/>
          <w:sz w:val="24"/>
          <w:szCs w:val="24"/>
        </w:rPr>
        <w:lastRenderedPageBreak/>
        <w:t>Note (a)</w:t>
      </w:r>
      <w:bookmarkEnd w:id="17"/>
      <w:r w:rsidRPr="00416A92">
        <w:rPr>
          <w:sz w:val="24"/>
          <w:szCs w:val="24"/>
        </w:rPr>
        <w:t xml:space="preserve"> </w:t>
      </w:r>
      <w:r w:rsidRPr="00416A92">
        <w:rPr>
          <w:rStyle w:val="Heading3Char"/>
          <w:sz w:val="24"/>
          <w:szCs w:val="24"/>
        </w:rPr>
        <w:t>(</w:t>
      </w:r>
      <w:r w:rsidR="0048670D" w:rsidRPr="00416A92">
        <w:rPr>
          <w:rStyle w:val="Heading3Char"/>
          <w:sz w:val="24"/>
          <w:szCs w:val="24"/>
        </w:rPr>
        <w:t>Gilts exit b</w:t>
      </w:r>
      <w:r w:rsidRPr="00416A92">
        <w:rPr>
          <w:rStyle w:val="Heading3Char"/>
          <w:sz w:val="24"/>
          <w:szCs w:val="24"/>
        </w:rPr>
        <w:t xml:space="preserve">asis for CABs </w:t>
      </w:r>
      <w:r w:rsidR="00562CFC" w:rsidRPr="00416A92">
        <w:rPr>
          <w:rStyle w:val="Heading3Char"/>
          <w:sz w:val="24"/>
          <w:szCs w:val="24"/>
        </w:rPr>
        <w:t>and Designating</w:t>
      </w:r>
      <w:r w:rsidR="00D2099A" w:rsidRPr="00416A92">
        <w:rPr>
          <w:rStyle w:val="Heading3Char"/>
          <w:sz w:val="24"/>
          <w:szCs w:val="24"/>
        </w:rPr>
        <w:t xml:space="preserve"> Employers </w:t>
      </w:r>
      <w:r w:rsidRPr="00416A92">
        <w:rPr>
          <w:rStyle w:val="Heading3Char"/>
          <w:sz w:val="24"/>
          <w:szCs w:val="24"/>
        </w:rPr>
        <w:t>closed to new entrants)</w:t>
      </w:r>
    </w:p>
    <w:p w14:paraId="7577426E" w14:textId="77777777" w:rsidR="00E03C64" w:rsidRPr="00416A92" w:rsidRDefault="00E03C64" w:rsidP="00E03C64">
      <w:pPr>
        <w:pStyle w:val="BodyTextGrey"/>
        <w:rPr>
          <w:sz w:val="24"/>
          <w:szCs w:val="24"/>
        </w:rPr>
      </w:pPr>
      <w:r w:rsidRPr="00416A92">
        <w:rPr>
          <w:sz w:val="24"/>
          <w:szCs w:val="24"/>
        </w:rPr>
        <w:t>In the circumstances where:</w:t>
      </w:r>
    </w:p>
    <w:p w14:paraId="7B3C70FD" w14:textId="77777777" w:rsidR="00E03C64" w:rsidRPr="00416A92" w:rsidRDefault="00E03C64" w:rsidP="00AF7B46">
      <w:pPr>
        <w:pStyle w:val="BulletHymans"/>
        <w:numPr>
          <w:ilvl w:val="0"/>
          <w:numId w:val="39"/>
        </w:numPr>
        <w:ind w:left="567" w:hanging="567"/>
        <w:rPr>
          <w:sz w:val="24"/>
          <w:szCs w:val="24"/>
        </w:rPr>
      </w:pPr>
      <w:r w:rsidRPr="00416A92">
        <w:rPr>
          <w:sz w:val="24"/>
          <w:szCs w:val="24"/>
        </w:rPr>
        <w:t xml:space="preserve">the employer is </w:t>
      </w:r>
      <w:r w:rsidR="00562CFC" w:rsidRPr="00416A92">
        <w:rPr>
          <w:sz w:val="24"/>
          <w:szCs w:val="24"/>
        </w:rPr>
        <w:t>a Designating</w:t>
      </w:r>
      <w:r w:rsidR="00D2099A" w:rsidRPr="00416A92">
        <w:rPr>
          <w:sz w:val="24"/>
          <w:szCs w:val="24"/>
        </w:rPr>
        <w:t xml:space="preserve"> Employer, or </w:t>
      </w:r>
      <w:r w:rsidRPr="00416A92">
        <w:rPr>
          <w:sz w:val="24"/>
          <w:szCs w:val="24"/>
        </w:rPr>
        <w:t>an Admission Body but not a Transferee Admission Body, and</w:t>
      </w:r>
    </w:p>
    <w:p w14:paraId="58C7A400" w14:textId="77777777" w:rsidR="00E03C64" w:rsidRPr="00416A92" w:rsidRDefault="00E03C64" w:rsidP="00AF7B46">
      <w:pPr>
        <w:pStyle w:val="BulletHymans"/>
        <w:numPr>
          <w:ilvl w:val="0"/>
          <w:numId w:val="39"/>
        </w:numPr>
        <w:ind w:left="567" w:hanging="567"/>
        <w:rPr>
          <w:sz w:val="24"/>
          <w:szCs w:val="24"/>
        </w:rPr>
      </w:pPr>
      <w:r w:rsidRPr="00416A92">
        <w:rPr>
          <w:sz w:val="24"/>
          <w:szCs w:val="24"/>
        </w:rPr>
        <w:t>the employer has no guarantor, and</w:t>
      </w:r>
    </w:p>
    <w:p w14:paraId="7DEB8B35" w14:textId="77777777" w:rsidR="00E03C64" w:rsidRPr="00416A92" w:rsidRDefault="00E03C64" w:rsidP="00AF7B46">
      <w:pPr>
        <w:pStyle w:val="BulletHymans"/>
        <w:numPr>
          <w:ilvl w:val="0"/>
          <w:numId w:val="39"/>
        </w:numPr>
        <w:ind w:left="567" w:hanging="567"/>
        <w:rPr>
          <w:sz w:val="24"/>
          <w:szCs w:val="24"/>
        </w:rPr>
      </w:pPr>
      <w:r w:rsidRPr="00416A92">
        <w:rPr>
          <w:sz w:val="24"/>
          <w:szCs w:val="24"/>
        </w:rPr>
        <w:t xml:space="preserve">the admission agreement is likely to terminate, or the employer </w:t>
      </w:r>
      <w:r w:rsidR="00B078D8" w:rsidRPr="00416A92">
        <w:rPr>
          <w:sz w:val="24"/>
          <w:szCs w:val="24"/>
        </w:rPr>
        <w:t xml:space="preserve">is likely to </w:t>
      </w:r>
      <w:r w:rsidRPr="00416A92">
        <w:rPr>
          <w:sz w:val="24"/>
          <w:szCs w:val="24"/>
        </w:rPr>
        <w:t xml:space="preserve">lose its last active member, within a timeframe considered </w:t>
      </w:r>
      <w:r w:rsidR="00B078D8" w:rsidRPr="00416A92">
        <w:rPr>
          <w:sz w:val="24"/>
          <w:szCs w:val="24"/>
        </w:rPr>
        <w:t xml:space="preserve">appropriate </w:t>
      </w:r>
      <w:r w:rsidRPr="00416A92">
        <w:rPr>
          <w:sz w:val="24"/>
          <w:szCs w:val="24"/>
        </w:rPr>
        <w:t xml:space="preserve">by the Administering Authority to prompt a change in funding, </w:t>
      </w:r>
    </w:p>
    <w:p w14:paraId="50487015" w14:textId="4B0EA334" w:rsidR="00E03C64" w:rsidRPr="00416A92" w:rsidRDefault="00E03C64" w:rsidP="001B5DBD">
      <w:pPr>
        <w:pStyle w:val="BodyTextGrey"/>
        <w:rPr>
          <w:sz w:val="24"/>
          <w:szCs w:val="24"/>
        </w:rPr>
      </w:pPr>
      <w:r w:rsidRPr="00416A92">
        <w:rPr>
          <w:sz w:val="24"/>
          <w:szCs w:val="24"/>
        </w:rPr>
        <w:t xml:space="preserve">the Administering Authority may </w:t>
      </w:r>
      <w:r w:rsidR="00251BC2" w:rsidRPr="00416A92">
        <w:rPr>
          <w:sz w:val="24"/>
          <w:szCs w:val="24"/>
        </w:rPr>
        <w:t xml:space="preserve">set a higher </w:t>
      </w:r>
      <w:r w:rsidRPr="00416A92">
        <w:rPr>
          <w:sz w:val="24"/>
          <w:szCs w:val="24"/>
        </w:rPr>
        <w:t xml:space="preserve">funding </w:t>
      </w:r>
      <w:r w:rsidR="00251BC2" w:rsidRPr="00416A92">
        <w:rPr>
          <w:sz w:val="24"/>
          <w:szCs w:val="24"/>
        </w:rPr>
        <w:t xml:space="preserve">target </w:t>
      </w:r>
      <w:r w:rsidRPr="00416A92">
        <w:rPr>
          <w:sz w:val="24"/>
          <w:szCs w:val="24"/>
        </w:rPr>
        <w:t xml:space="preserve">(e.g. </w:t>
      </w:r>
      <w:r w:rsidR="0048670D" w:rsidRPr="00416A92">
        <w:rPr>
          <w:sz w:val="24"/>
          <w:szCs w:val="24"/>
        </w:rPr>
        <w:t xml:space="preserve">based on the return from long-term </w:t>
      </w:r>
      <w:r w:rsidRPr="00416A92">
        <w:rPr>
          <w:sz w:val="24"/>
          <w:szCs w:val="24"/>
        </w:rPr>
        <w:t xml:space="preserve">gilt yields) by the time the agreement terminates or the last active member leaves, in order to protect other employers in the Fund.  This policy will increase regular contributions and reduce, but not entirely eliminate, the possibility of a final deficit payment being required </w:t>
      </w:r>
      <w:r w:rsidR="00684370" w:rsidRPr="00416A92">
        <w:rPr>
          <w:sz w:val="24"/>
          <w:szCs w:val="24"/>
        </w:rPr>
        <w:t xml:space="preserve">from </w:t>
      </w:r>
      <w:r w:rsidR="009B19D1" w:rsidRPr="00416A92">
        <w:rPr>
          <w:sz w:val="24"/>
          <w:szCs w:val="24"/>
        </w:rPr>
        <w:t>or a surplus payment being made to</w:t>
      </w:r>
      <w:r w:rsidRPr="00416A92">
        <w:rPr>
          <w:sz w:val="24"/>
          <w:szCs w:val="24"/>
        </w:rPr>
        <w:t xml:space="preserve"> the employer when a cessation valuation is carried out.  </w:t>
      </w:r>
    </w:p>
    <w:p w14:paraId="0600AAFA" w14:textId="77777777" w:rsidR="00E03C64" w:rsidRPr="00416A92" w:rsidRDefault="00E03C64" w:rsidP="00E03C64">
      <w:pPr>
        <w:pStyle w:val="BodyTextGrey"/>
        <w:rPr>
          <w:sz w:val="24"/>
          <w:szCs w:val="24"/>
        </w:rPr>
      </w:pPr>
      <w:r w:rsidRPr="00416A92">
        <w:rPr>
          <w:sz w:val="24"/>
          <w:szCs w:val="24"/>
        </w:rPr>
        <w:t xml:space="preserve">The Administering Authority also reserves the right to adopt the above approach in respect of those </w:t>
      </w:r>
      <w:r w:rsidR="00562CFC" w:rsidRPr="00416A92">
        <w:rPr>
          <w:sz w:val="24"/>
          <w:szCs w:val="24"/>
        </w:rPr>
        <w:t>Designating</w:t>
      </w:r>
      <w:r w:rsidR="00D2099A" w:rsidRPr="00416A92">
        <w:rPr>
          <w:sz w:val="24"/>
          <w:szCs w:val="24"/>
        </w:rPr>
        <w:t xml:space="preserve"> Employers and </w:t>
      </w:r>
      <w:r w:rsidRPr="00416A92">
        <w:rPr>
          <w:sz w:val="24"/>
          <w:szCs w:val="24"/>
        </w:rPr>
        <w:t>Admission Bodies with no guarantor, where the strength of covenant is considered to be weak but there is no immediate expectation that the admission agreement will cease</w:t>
      </w:r>
      <w:r w:rsidR="00F83F3E" w:rsidRPr="00416A92">
        <w:rPr>
          <w:sz w:val="24"/>
          <w:szCs w:val="24"/>
        </w:rPr>
        <w:t xml:space="preserve"> or the Designating Employer alters its designation</w:t>
      </w:r>
      <w:r w:rsidRPr="00416A92">
        <w:rPr>
          <w:sz w:val="24"/>
          <w:szCs w:val="24"/>
        </w:rPr>
        <w:t>.</w:t>
      </w:r>
    </w:p>
    <w:p w14:paraId="62ABE806" w14:textId="77777777" w:rsidR="00E03C64" w:rsidRPr="00416A92" w:rsidRDefault="00E03C64" w:rsidP="00E03C64">
      <w:pPr>
        <w:pStyle w:val="BodyTextGrey"/>
        <w:rPr>
          <w:sz w:val="24"/>
          <w:szCs w:val="24"/>
        </w:rPr>
      </w:pPr>
      <w:bookmarkStart w:id="18" w:name="Noteb"/>
      <w:r w:rsidRPr="00416A92">
        <w:rPr>
          <w:rStyle w:val="Heading3Char"/>
          <w:sz w:val="24"/>
          <w:szCs w:val="24"/>
        </w:rPr>
        <w:t>Note (b)</w:t>
      </w:r>
      <w:r w:rsidRPr="00416A92">
        <w:rPr>
          <w:sz w:val="24"/>
          <w:szCs w:val="24"/>
        </w:rPr>
        <w:t xml:space="preserve"> </w:t>
      </w:r>
      <w:r w:rsidRPr="00416A92">
        <w:rPr>
          <w:rStyle w:val="Heading3Char"/>
          <w:sz w:val="24"/>
          <w:szCs w:val="24"/>
        </w:rPr>
        <w:t>(Stabilisation)</w:t>
      </w:r>
    </w:p>
    <w:bookmarkEnd w:id="18"/>
    <w:p w14:paraId="77F118A6" w14:textId="77777777" w:rsidR="00E03C64" w:rsidRPr="00416A92" w:rsidRDefault="00E03C64" w:rsidP="00E03C64">
      <w:pPr>
        <w:pStyle w:val="BodyTextGrey"/>
        <w:rPr>
          <w:sz w:val="24"/>
          <w:szCs w:val="24"/>
        </w:rPr>
      </w:pPr>
      <w:r w:rsidRPr="00416A92">
        <w:rPr>
          <w:sz w:val="24"/>
          <w:szCs w:val="24"/>
        </w:rPr>
        <w:t>Stabilisation is a mechanism where employer contribution rate variations from year to year are kept within a pre-determined range, thus allowing those employers’ rates to be relatively stable. In the interests of stability and affordability of employer contributions, the Administering Authority, on the advice of the Fund Actuary, believes that stabilising contributions can still be viewed as a prudent longer-term approach.  However, employers whose contribution rates have been “stabilised” (and may therefore be paying less than their theoretical contribution rate) should be aware of the risks of this approach and should consider making additional payments to the Fund if possible.</w:t>
      </w:r>
    </w:p>
    <w:p w14:paraId="774B9CC6" w14:textId="77777777" w:rsidR="00E03C64" w:rsidRPr="00416A92" w:rsidRDefault="00E03C64" w:rsidP="00E03C64">
      <w:pPr>
        <w:pStyle w:val="BodyTextGrey"/>
        <w:rPr>
          <w:sz w:val="24"/>
          <w:szCs w:val="24"/>
        </w:rPr>
      </w:pPr>
      <w:r w:rsidRPr="00416A92">
        <w:rPr>
          <w:sz w:val="24"/>
          <w:szCs w:val="24"/>
        </w:rPr>
        <w:t>This stabilisation mechanism allows short term investment market volatility to be managed so as not to cause volatility in employer contribution rates, on the basis that a long term view can be taken on net cash inflow, investment returns and strength of employer covenant.</w:t>
      </w:r>
    </w:p>
    <w:p w14:paraId="2ACA5D87" w14:textId="77777777" w:rsidR="00E03C64" w:rsidRPr="00416A92" w:rsidRDefault="00E03C64" w:rsidP="00E03C64">
      <w:pPr>
        <w:pStyle w:val="BodyTextGrey"/>
        <w:rPr>
          <w:sz w:val="24"/>
          <w:szCs w:val="24"/>
        </w:rPr>
      </w:pPr>
      <w:r w:rsidRPr="00416A92">
        <w:rPr>
          <w:sz w:val="24"/>
          <w:szCs w:val="24"/>
        </w:rPr>
        <w:t>The current stabilisation mechanism applies if:</w:t>
      </w:r>
    </w:p>
    <w:p w14:paraId="3072D8CA" w14:textId="26DA2819" w:rsidR="00E03C64" w:rsidRPr="00416A92" w:rsidRDefault="00E03C64" w:rsidP="00AF7B46">
      <w:pPr>
        <w:pStyle w:val="BulletHymans"/>
        <w:numPr>
          <w:ilvl w:val="0"/>
          <w:numId w:val="40"/>
        </w:numPr>
        <w:ind w:left="567" w:hanging="567"/>
        <w:rPr>
          <w:sz w:val="24"/>
          <w:szCs w:val="24"/>
        </w:rPr>
      </w:pPr>
      <w:r w:rsidRPr="00416A92">
        <w:rPr>
          <w:sz w:val="24"/>
          <w:szCs w:val="24"/>
        </w:rPr>
        <w:t>the employer satisfies the eligibility criteria set by the Administering Authority (</w:t>
      </w:r>
      <w:r w:rsidR="00AF7B46" w:rsidRPr="00416A92">
        <w:rPr>
          <w:sz w:val="24"/>
          <w:szCs w:val="24"/>
        </w:rPr>
        <w:t>currently this only applies to the London Borough of Camden as the principal employer</w:t>
      </w:r>
      <w:r w:rsidRPr="00416A92">
        <w:rPr>
          <w:sz w:val="24"/>
          <w:szCs w:val="24"/>
        </w:rPr>
        <w:t>) and;</w:t>
      </w:r>
    </w:p>
    <w:p w14:paraId="40F38191" w14:textId="091731DA" w:rsidR="00E03C64" w:rsidRPr="00416A92" w:rsidRDefault="00E03C64" w:rsidP="00AF7B46">
      <w:pPr>
        <w:pStyle w:val="BulletHymans"/>
        <w:numPr>
          <w:ilvl w:val="0"/>
          <w:numId w:val="40"/>
        </w:numPr>
        <w:ind w:left="567" w:hanging="567"/>
        <w:rPr>
          <w:sz w:val="24"/>
          <w:szCs w:val="24"/>
        </w:rPr>
      </w:pPr>
      <w:r w:rsidRPr="00416A92">
        <w:rPr>
          <w:sz w:val="24"/>
          <w:szCs w:val="24"/>
        </w:rPr>
        <w:t>there are no material events which cause the employer to become ineligible, e.g. significant reductions in active membership (due to outsourcing or redundancies), or changes in the nature of the employer (perhaps due to Government restructuring)</w:t>
      </w:r>
      <w:r w:rsidR="00460211" w:rsidRPr="00416A92">
        <w:rPr>
          <w:sz w:val="24"/>
          <w:szCs w:val="24"/>
        </w:rPr>
        <w:t>, or changes in the security of the employer</w:t>
      </w:r>
      <w:r w:rsidRPr="00416A92">
        <w:rPr>
          <w:sz w:val="24"/>
          <w:szCs w:val="24"/>
        </w:rPr>
        <w:t>.</w:t>
      </w:r>
    </w:p>
    <w:p w14:paraId="2AFFDE07" w14:textId="6C22274A" w:rsidR="00AF7B46" w:rsidRPr="00416A92" w:rsidRDefault="00E03C64" w:rsidP="00416A92">
      <w:pPr>
        <w:pStyle w:val="BodyTextGrey"/>
        <w:rPr>
          <w:sz w:val="24"/>
          <w:szCs w:val="24"/>
        </w:rPr>
      </w:pPr>
      <w:r w:rsidRPr="00416A92">
        <w:rPr>
          <w:sz w:val="24"/>
          <w:szCs w:val="24"/>
        </w:rPr>
        <w:t xml:space="preserve">On the basis of extensive modelling carried out for the </w:t>
      </w:r>
      <w:r w:rsidR="0048670D" w:rsidRPr="00416A92">
        <w:rPr>
          <w:sz w:val="24"/>
          <w:szCs w:val="24"/>
        </w:rPr>
        <w:t xml:space="preserve">2019  </w:t>
      </w:r>
      <w:r w:rsidRPr="00416A92">
        <w:rPr>
          <w:sz w:val="24"/>
          <w:szCs w:val="24"/>
        </w:rPr>
        <w:t xml:space="preserve">valuation exercise (see </w:t>
      </w:r>
      <w:hyperlink w:anchor="Section4" w:history="1">
        <w:r w:rsidRPr="00416A92">
          <w:rPr>
            <w:rStyle w:val="Hyperlink"/>
            <w:sz w:val="24"/>
            <w:szCs w:val="24"/>
          </w:rPr>
          <w:t>Section 4</w:t>
        </w:r>
      </w:hyperlink>
      <w:r w:rsidRPr="00416A92">
        <w:rPr>
          <w:sz w:val="24"/>
          <w:szCs w:val="24"/>
        </w:rPr>
        <w:t xml:space="preserve">), the stabilised </w:t>
      </w:r>
      <w:r w:rsidR="00AF7B46" w:rsidRPr="00416A92">
        <w:rPr>
          <w:sz w:val="24"/>
          <w:szCs w:val="24"/>
        </w:rPr>
        <w:t xml:space="preserve">Council contributions </w:t>
      </w:r>
      <w:r w:rsidR="004029D1" w:rsidRPr="00416A92">
        <w:rPr>
          <w:sz w:val="24"/>
          <w:szCs w:val="24"/>
        </w:rPr>
        <w:t>will increase by 1% of payroll for each of the three years from 1 April 2020 ending 31 March 2023</w:t>
      </w:r>
    </w:p>
    <w:p w14:paraId="1F82DBCB" w14:textId="3A6E63C7" w:rsidR="00EC7495" w:rsidRPr="00416A92" w:rsidRDefault="00EC7495" w:rsidP="00EC7495">
      <w:pPr>
        <w:pStyle w:val="BodyTextGrey"/>
        <w:rPr>
          <w:sz w:val="24"/>
          <w:szCs w:val="24"/>
        </w:rPr>
      </w:pPr>
      <w:r w:rsidRPr="00416A92">
        <w:rPr>
          <w:sz w:val="24"/>
          <w:szCs w:val="24"/>
        </w:rPr>
        <w:lastRenderedPageBreak/>
        <w:t xml:space="preserve">The stabilisation criteria and limits will be reviewed at the </w:t>
      </w:r>
      <w:r w:rsidR="0048670D" w:rsidRPr="00416A92">
        <w:rPr>
          <w:sz w:val="24"/>
          <w:szCs w:val="24"/>
        </w:rPr>
        <w:t>next formal</w:t>
      </w:r>
      <w:r w:rsidRPr="00416A92">
        <w:rPr>
          <w:sz w:val="24"/>
          <w:szCs w:val="24"/>
        </w:rPr>
        <w:t xml:space="preserve"> valuation. </w:t>
      </w:r>
      <w:r w:rsidR="00460211" w:rsidRPr="00416A92">
        <w:rPr>
          <w:sz w:val="24"/>
          <w:szCs w:val="24"/>
        </w:rPr>
        <w:t>However the Administering Authority reserves the right to review the stabilisation criteria and limits at any time before then, on the basis of membership and/or employer changes as described above.</w:t>
      </w:r>
    </w:p>
    <w:p w14:paraId="7A36D0D6" w14:textId="0E48D574" w:rsidR="00EC7495" w:rsidRPr="00416A92" w:rsidRDefault="00EC7495" w:rsidP="00EC7495">
      <w:pPr>
        <w:pStyle w:val="BodyTextGrey"/>
        <w:rPr>
          <w:sz w:val="24"/>
          <w:szCs w:val="24"/>
        </w:rPr>
      </w:pPr>
      <w:bookmarkStart w:id="19" w:name="Notec"/>
      <w:r w:rsidRPr="00416A92">
        <w:rPr>
          <w:rStyle w:val="Heading3Char"/>
          <w:sz w:val="24"/>
          <w:szCs w:val="24"/>
        </w:rPr>
        <w:t>Note (c)</w:t>
      </w:r>
      <w:r w:rsidRPr="00416A92">
        <w:rPr>
          <w:sz w:val="24"/>
          <w:szCs w:val="24"/>
        </w:rPr>
        <w:t xml:space="preserve"> </w:t>
      </w:r>
      <w:r w:rsidRPr="00416A92">
        <w:rPr>
          <w:rStyle w:val="Heading3Char"/>
          <w:sz w:val="24"/>
          <w:szCs w:val="24"/>
        </w:rPr>
        <w:t>(</w:t>
      </w:r>
      <w:r w:rsidR="001B5DBD" w:rsidRPr="00416A92">
        <w:rPr>
          <w:rStyle w:val="Heading3Char"/>
          <w:sz w:val="24"/>
          <w:szCs w:val="24"/>
        </w:rPr>
        <w:t>Max</w:t>
      </w:r>
      <w:r w:rsidR="00251BC2" w:rsidRPr="00416A92">
        <w:rPr>
          <w:rStyle w:val="Heading3Char"/>
          <w:sz w:val="24"/>
          <w:szCs w:val="24"/>
        </w:rPr>
        <w:t>imum time horizon</w:t>
      </w:r>
      <w:r w:rsidRPr="00416A92">
        <w:rPr>
          <w:rStyle w:val="Heading3Char"/>
          <w:sz w:val="24"/>
          <w:szCs w:val="24"/>
        </w:rPr>
        <w:t>)</w:t>
      </w:r>
    </w:p>
    <w:bookmarkEnd w:id="19"/>
    <w:p w14:paraId="23F696A2" w14:textId="3E594D68" w:rsidR="00EC7495" w:rsidRPr="00416A92" w:rsidRDefault="00EC7495" w:rsidP="00EC7495">
      <w:pPr>
        <w:pStyle w:val="BodyTextGrey"/>
        <w:rPr>
          <w:sz w:val="24"/>
          <w:szCs w:val="24"/>
        </w:rPr>
      </w:pPr>
      <w:r w:rsidRPr="00416A92">
        <w:rPr>
          <w:sz w:val="24"/>
          <w:szCs w:val="24"/>
        </w:rPr>
        <w:t xml:space="preserve">The </w:t>
      </w:r>
      <w:r w:rsidR="001B5DBD" w:rsidRPr="00416A92">
        <w:rPr>
          <w:sz w:val="24"/>
          <w:szCs w:val="24"/>
        </w:rPr>
        <w:t>maximum time horizon</w:t>
      </w:r>
      <w:r w:rsidRPr="00416A92">
        <w:rPr>
          <w:sz w:val="24"/>
          <w:szCs w:val="24"/>
        </w:rPr>
        <w:t xml:space="preserve"> starts at the commencement of the revised contribution rate (1 April </w:t>
      </w:r>
      <w:r w:rsidR="0048670D" w:rsidRPr="00416A92">
        <w:rPr>
          <w:sz w:val="24"/>
          <w:szCs w:val="24"/>
        </w:rPr>
        <w:t xml:space="preserve">2020 </w:t>
      </w:r>
      <w:r w:rsidRPr="00416A92">
        <w:rPr>
          <w:sz w:val="24"/>
          <w:szCs w:val="24"/>
        </w:rPr>
        <w:t xml:space="preserve">for the </w:t>
      </w:r>
      <w:r w:rsidR="0048670D" w:rsidRPr="00416A92">
        <w:rPr>
          <w:sz w:val="24"/>
          <w:szCs w:val="24"/>
        </w:rPr>
        <w:t xml:space="preserve">2019 </w:t>
      </w:r>
      <w:r w:rsidRPr="00416A92">
        <w:rPr>
          <w:sz w:val="24"/>
          <w:szCs w:val="24"/>
        </w:rPr>
        <w:t xml:space="preserve">valuation).  The Administering Authority would normally expect the same period to be used at successive triennial valuations, but would reserve the right to propose alternative </w:t>
      </w:r>
      <w:r w:rsidR="001B5DBD" w:rsidRPr="00416A92">
        <w:rPr>
          <w:sz w:val="24"/>
          <w:szCs w:val="24"/>
        </w:rPr>
        <w:t>time horizons</w:t>
      </w:r>
      <w:r w:rsidRPr="00416A92">
        <w:rPr>
          <w:sz w:val="24"/>
          <w:szCs w:val="24"/>
        </w:rPr>
        <w:t>, for example where there were no new entrants.</w:t>
      </w:r>
    </w:p>
    <w:p w14:paraId="18F626B6" w14:textId="64E51B30" w:rsidR="00EC7495" w:rsidRPr="00416A92" w:rsidRDefault="00EC7495" w:rsidP="00EC7495">
      <w:pPr>
        <w:pStyle w:val="BodyTextGrey"/>
        <w:rPr>
          <w:sz w:val="24"/>
          <w:szCs w:val="24"/>
        </w:rPr>
      </w:pPr>
      <w:bookmarkStart w:id="20" w:name="Noted"/>
      <w:r w:rsidRPr="00416A92">
        <w:rPr>
          <w:rStyle w:val="Heading3Char"/>
          <w:sz w:val="24"/>
          <w:szCs w:val="24"/>
        </w:rPr>
        <w:t>Note (d)</w:t>
      </w:r>
      <w:bookmarkEnd w:id="20"/>
      <w:r w:rsidRPr="00416A92">
        <w:rPr>
          <w:sz w:val="24"/>
          <w:szCs w:val="24"/>
        </w:rPr>
        <w:t xml:space="preserve"> </w:t>
      </w:r>
      <w:r w:rsidRPr="00416A92">
        <w:rPr>
          <w:rStyle w:val="Heading3Char"/>
          <w:sz w:val="24"/>
          <w:szCs w:val="24"/>
        </w:rPr>
        <w:t>(</w:t>
      </w:r>
      <w:r w:rsidR="00251BC2" w:rsidRPr="00416A92">
        <w:rPr>
          <w:rStyle w:val="Heading3Char"/>
          <w:sz w:val="24"/>
          <w:szCs w:val="24"/>
        </w:rPr>
        <w:t>Secondary rate</w:t>
      </w:r>
      <w:r w:rsidRPr="00416A92">
        <w:rPr>
          <w:rStyle w:val="Heading3Char"/>
          <w:sz w:val="24"/>
          <w:szCs w:val="24"/>
        </w:rPr>
        <w:t>)</w:t>
      </w:r>
    </w:p>
    <w:p w14:paraId="3637DA8D" w14:textId="02FB658D" w:rsidR="00EC7495" w:rsidRPr="00416A92" w:rsidRDefault="00EC7495" w:rsidP="00EC7495">
      <w:pPr>
        <w:pStyle w:val="BodyTextGrey"/>
        <w:rPr>
          <w:sz w:val="24"/>
          <w:szCs w:val="24"/>
        </w:rPr>
      </w:pPr>
      <w:r w:rsidRPr="00416A92">
        <w:rPr>
          <w:sz w:val="24"/>
          <w:szCs w:val="24"/>
        </w:rPr>
        <w:t xml:space="preserve">For employers where stabilisation is not being applied, the </w:t>
      </w:r>
      <w:r w:rsidR="00460211" w:rsidRPr="00416A92">
        <w:rPr>
          <w:sz w:val="24"/>
          <w:szCs w:val="24"/>
        </w:rPr>
        <w:t>Secondary contribution rate</w:t>
      </w:r>
      <w:r w:rsidRPr="00416A92">
        <w:rPr>
          <w:sz w:val="24"/>
          <w:szCs w:val="24"/>
        </w:rPr>
        <w:t xml:space="preserve"> for each employer covering the period until the next </w:t>
      </w:r>
      <w:r w:rsidR="0048670D" w:rsidRPr="00416A92">
        <w:rPr>
          <w:sz w:val="24"/>
          <w:szCs w:val="24"/>
        </w:rPr>
        <w:t xml:space="preserve">formal </w:t>
      </w:r>
      <w:r w:rsidRPr="00416A92">
        <w:rPr>
          <w:sz w:val="24"/>
          <w:szCs w:val="24"/>
        </w:rPr>
        <w:t xml:space="preserve">valuation will often be set as a percentage of salaries. </w:t>
      </w:r>
      <w:r w:rsidR="00756732" w:rsidRPr="00416A92">
        <w:rPr>
          <w:sz w:val="24"/>
          <w:szCs w:val="24"/>
        </w:rPr>
        <w:t xml:space="preserve"> </w:t>
      </w:r>
      <w:r w:rsidRPr="00416A92">
        <w:rPr>
          <w:sz w:val="24"/>
          <w:szCs w:val="24"/>
        </w:rPr>
        <w:t xml:space="preserve">However, the Administering Authority reserves the right to amend these rates between </w:t>
      </w:r>
      <w:r w:rsidR="0048670D" w:rsidRPr="00416A92">
        <w:rPr>
          <w:sz w:val="24"/>
          <w:szCs w:val="24"/>
        </w:rPr>
        <w:t xml:space="preserve">formal </w:t>
      </w:r>
      <w:r w:rsidRPr="00416A92">
        <w:rPr>
          <w:sz w:val="24"/>
          <w:szCs w:val="24"/>
        </w:rPr>
        <w:t>valuations and/or to require these payments in monetary terms instead, for instance where:</w:t>
      </w:r>
    </w:p>
    <w:p w14:paraId="17C8232D" w14:textId="57C2DBD3" w:rsidR="00EC7495" w:rsidRPr="00416A92" w:rsidRDefault="00EC7495" w:rsidP="00317572">
      <w:pPr>
        <w:pStyle w:val="BulletHymans"/>
        <w:numPr>
          <w:ilvl w:val="0"/>
          <w:numId w:val="41"/>
        </w:numPr>
        <w:ind w:left="567" w:hanging="567"/>
        <w:rPr>
          <w:sz w:val="24"/>
          <w:szCs w:val="24"/>
        </w:rPr>
      </w:pPr>
      <w:r w:rsidRPr="00416A92">
        <w:rPr>
          <w:sz w:val="24"/>
          <w:szCs w:val="24"/>
        </w:rPr>
        <w:t xml:space="preserve">the employer is relatively mature, i.e. has a large </w:t>
      </w:r>
      <w:r w:rsidR="001B5DBD" w:rsidRPr="00416A92">
        <w:rPr>
          <w:sz w:val="24"/>
          <w:szCs w:val="24"/>
        </w:rPr>
        <w:t>Secondary</w:t>
      </w:r>
      <w:r w:rsidRPr="00416A92">
        <w:rPr>
          <w:sz w:val="24"/>
          <w:szCs w:val="24"/>
        </w:rPr>
        <w:t xml:space="preserve"> contribution rate (e.g. above 15% of payroll), or</w:t>
      </w:r>
    </w:p>
    <w:p w14:paraId="73FA218D" w14:textId="77777777" w:rsidR="00EC7495" w:rsidRPr="00416A92" w:rsidRDefault="00EC7495" w:rsidP="00317572">
      <w:pPr>
        <w:pStyle w:val="BulletHymans"/>
        <w:numPr>
          <w:ilvl w:val="0"/>
          <w:numId w:val="41"/>
        </w:numPr>
        <w:ind w:left="567" w:hanging="567"/>
        <w:rPr>
          <w:sz w:val="24"/>
          <w:szCs w:val="24"/>
        </w:rPr>
      </w:pPr>
      <w:r w:rsidRPr="00416A92">
        <w:rPr>
          <w:sz w:val="24"/>
          <w:szCs w:val="24"/>
        </w:rPr>
        <w:t>there has been a significant reduction in payroll due to outsourcing or redundancy exercises, or</w:t>
      </w:r>
    </w:p>
    <w:p w14:paraId="5DE624DE" w14:textId="77777777" w:rsidR="00EC7495" w:rsidRPr="00416A92" w:rsidRDefault="00EC7495" w:rsidP="00317572">
      <w:pPr>
        <w:pStyle w:val="BulletHymans"/>
        <w:numPr>
          <w:ilvl w:val="0"/>
          <w:numId w:val="41"/>
        </w:numPr>
        <w:ind w:left="567" w:hanging="567"/>
        <w:rPr>
          <w:sz w:val="24"/>
          <w:szCs w:val="24"/>
        </w:rPr>
      </w:pPr>
      <w:r w:rsidRPr="00416A92">
        <w:rPr>
          <w:sz w:val="24"/>
          <w:szCs w:val="24"/>
        </w:rPr>
        <w:t>the employer has closed the Fund to new entrants.</w:t>
      </w:r>
    </w:p>
    <w:p w14:paraId="61214238" w14:textId="017392BD" w:rsidR="00EC7495" w:rsidRPr="00416A92" w:rsidRDefault="00EC7495" w:rsidP="00EC7495">
      <w:pPr>
        <w:pStyle w:val="BodyTextGrey"/>
        <w:rPr>
          <w:sz w:val="24"/>
          <w:szCs w:val="24"/>
        </w:rPr>
      </w:pPr>
      <w:bookmarkStart w:id="21" w:name="Notee"/>
      <w:r w:rsidRPr="00416A92">
        <w:rPr>
          <w:rStyle w:val="Heading3Char"/>
          <w:sz w:val="24"/>
          <w:szCs w:val="24"/>
        </w:rPr>
        <w:t>Note (e)</w:t>
      </w:r>
      <w:bookmarkEnd w:id="21"/>
      <w:r w:rsidRPr="00416A92">
        <w:rPr>
          <w:sz w:val="24"/>
          <w:szCs w:val="24"/>
        </w:rPr>
        <w:t xml:space="preserve"> </w:t>
      </w:r>
      <w:r w:rsidRPr="00416A92">
        <w:rPr>
          <w:rStyle w:val="Heading3Char"/>
          <w:sz w:val="24"/>
          <w:szCs w:val="24"/>
        </w:rPr>
        <w:t>(</w:t>
      </w:r>
      <w:r w:rsidR="0048670D" w:rsidRPr="00416A92">
        <w:rPr>
          <w:rStyle w:val="Heading3Char"/>
          <w:sz w:val="24"/>
          <w:szCs w:val="24"/>
        </w:rPr>
        <w:t xml:space="preserve">Likelihood </w:t>
      </w:r>
      <w:r w:rsidR="0084125F" w:rsidRPr="00416A92">
        <w:rPr>
          <w:rStyle w:val="Heading3Char"/>
          <w:sz w:val="24"/>
          <w:szCs w:val="24"/>
        </w:rPr>
        <w:t>of achieving funding target</w:t>
      </w:r>
      <w:r w:rsidRPr="00416A92">
        <w:rPr>
          <w:rStyle w:val="Heading3Char"/>
          <w:sz w:val="24"/>
          <w:szCs w:val="24"/>
        </w:rPr>
        <w:t>)</w:t>
      </w:r>
    </w:p>
    <w:p w14:paraId="2D31570F" w14:textId="76A6BD63" w:rsidR="0084755C" w:rsidRPr="00416A92" w:rsidRDefault="0084755C" w:rsidP="00EC7495">
      <w:pPr>
        <w:pStyle w:val="BodyTextGrey"/>
        <w:rPr>
          <w:sz w:val="24"/>
          <w:szCs w:val="24"/>
        </w:rPr>
      </w:pPr>
      <w:r w:rsidRPr="00416A92">
        <w:rPr>
          <w:sz w:val="24"/>
          <w:szCs w:val="24"/>
        </w:rPr>
        <w:t>Each employer has its funding target calculated, and a relevant time horizon over which to reach that target. Contributions are set such that, combined with the employer’s current asset share and anticipated market movements over the time horizon, the funding target is achieved with a given minimum</w:t>
      </w:r>
      <w:r w:rsidR="00684370" w:rsidRPr="00416A92">
        <w:rPr>
          <w:sz w:val="24"/>
          <w:szCs w:val="24"/>
        </w:rPr>
        <w:t xml:space="preserve"> </w:t>
      </w:r>
      <w:r w:rsidR="0048670D" w:rsidRPr="00416A92">
        <w:rPr>
          <w:sz w:val="24"/>
          <w:szCs w:val="24"/>
        </w:rPr>
        <w:t>likelihood</w:t>
      </w:r>
      <w:r w:rsidRPr="00416A92">
        <w:rPr>
          <w:sz w:val="24"/>
          <w:szCs w:val="24"/>
        </w:rPr>
        <w:t xml:space="preserve">. A higher </w:t>
      </w:r>
      <w:r w:rsidR="0032716A" w:rsidRPr="00416A92">
        <w:rPr>
          <w:sz w:val="24"/>
          <w:szCs w:val="24"/>
        </w:rPr>
        <w:t xml:space="preserve">required </w:t>
      </w:r>
      <w:r w:rsidR="0048670D" w:rsidRPr="00416A92">
        <w:rPr>
          <w:sz w:val="24"/>
          <w:szCs w:val="24"/>
        </w:rPr>
        <w:t xml:space="preserve">likelihood </w:t>
      </w:r>
      <w:r w:rsidRPr="00416A92">
        <w:rPr>
          <w:sz w:val="24"/>
          <w:szCs w:val="24"/>
        </w:rPr>
        <w:t>bar will give rise to higher required contributions, and vice versa.</w:t>
      </w:r>
    </w:p>
    <w:p w14:paraId="58E5AA9F" w14:textId="7C6A7AEB" w:rsidR="0084755C" w:rsidRPr="00416A92" w:rsidRDefault="0084755C" w:rsidP="00EC7495">
      <w:pPr>
        <w:pStyle w:val="BodyTextGrey"/>
        <w:rPr>
          <w:sz w:val="24"/>
          <w:szCs w:val="24"/>
        </w:rPr>
      </w:pPr>
      <w:r w:rsidRPr="00416A92">
        <w:rPr>
          <w:sz w:val="24"/>
          <w:szCs w:val="24"/>
        </w:rPr>
        <w:t xml:space="preserve">The way in which contributions are set </w:t>
      </w:r>
      <w:r w:rsidR="00E34962" w:rsidRPr="00416A92">
        <w:rPr>
          <w:sz w:val="24"/>
          <w:szCs w:val="24"/>
        </w:rPr>
        <w:t xml:space="preserve">using these three steps, and relevant economic projections, </w:t>
      </w:r>
      <w:r w:rsidRPr="00416A92">
        <w:rPr>
          <w:sz w:val="24"/>
          <w:szCs w:val="24"/>
        </w:rPr>
        <w:t xml:space="preserve">is described in further detail in </w:t>
      </w:r>
      <w:hyperlink w:anchor="AppendixD" w:history="1">
        <w:r w:rsidRPr="00416A92">
          <w:rPr>
            <w:rStyle w:val="Hyperlink"/>
            <w:sz w:val="24"/>
            <w:szCs w:val="24"/>
          </w:rPr>
          <w:t xml:space="preserve">Appendix </w:t>
        </w:r>
        <w:r w:rsidR="00450498" w:rsidRPr="00416A92">
          <w:rPr>
            <w:rStyle w:val="Hyperlink"/>
            <w:sz w:val="24"/>
            <w:szCs w:val="24"/>
          </w:rPr>
          <w:t>D</w:t>
        </w:r>
      </w:hyperlink>
      <w:r w:rsidR="00E34962" w:rsidRPr="00416A92">
        <w:rPr>
          <w:sz w:val="24"/>
          <w:szCs w:val="24"/>
        </w:rPr>
        <w:t>.</w:t>
      </w:r>
    </w:p>
    <w:p w14:paraId="7DCF7D3C" w14:textId="233C555F" w:rsidR="00E34962" w:rsidRPr="00416A92" w:rsidRDefault="0084755C" w:rsidP="00EC7495">
      <w:pPr>
        <w:pStyle w:val="BodyTextGrey"/>
        <w:rPr>
          <w:sz w:val="24"/>
          <w:szCs w:val="24"/>
        </w:rPr>
      </w:pPr>
      <w:r w:rsidRPr="00416A92">
        <w:rPr>
          <w:sz w:val="24"/>
          <w:szCs w:val="24"/>
        </w:rPr>
        <w:t xml:space="preserve">Different </w:t>
      </w:r>
      <w:r w:rsidR="0048670D" w:rsidRPr="00416A92">
        <w:rPr>
          <w:sz w:val="24"/>
          <w:szCs w:val="24"/>
        </w:rPr>
        <w:t xml:space="preserve">likelihoods </w:t>
      </w:r>
      <w:r w:rsidRPr="00416A92">
        <w:rPr>
          <w:sz w:val="24"/>
          <w:szCs w:val="24"/>
        </w:rPr>
        <w:t xml:space="preserve">are set for different employers depending on their nature and circumstances: in broad terms, a higher </w:t>
      </w:r>
      <w:r w:rsidR="0048670D" w:rsidRPr="00416A92">
        <w:rPr>
          <w:sz w:val="24"/>
          <w:szCs w:val="24"/>
        </w:rPr>
        <w:t xml:space="preserve">likelihood </w:t>
      </w:r>
      <w:r w:rsidR="00E34962" w:rsidRPr="00416A92">
        <w:rPr>
          <w:sz w:val="24"/>
          <w:szCs w:val="24"/>
        </w:rPr>
        <w:t>will apply due to one or more of the following:</w:t>
      </w:r>
    </w:p>
    <w:p w14:paraId="1C046115" w14:textId="77777777" w:rsidR="00E34962" w:rsidRPr="00416A92" w:rsidRDefault="00E34962" w:rsidP="00317572">
      <w:pPr>
        <w:pStyle w:val="BodyTextGrey"/>
        <w:numPr>
          <w:ilvl w:val="0"/>
          <w:numId w:val="20"/>
        </w:numPr>
        <w:ind w:left="567" w:hanging="567"/>
        <w:rPr>
          <w:sz w:val="24"/>
          <w:szCs w:val="24"/>
        </w:rPr>
      </w:pPr>
      <w:r w:rsidRPr="00416A92">
        <w:rPr>
          <w:sz w:val="24"/>
          <w:szCs w:val="24"/>
        </w:rPr>
        <w:t xml:space="preserve">the Fund believes the employer poses a greater funding risk than other employers, </w:t>
      </w:r>
    </w:p>
    <w:p w14:paraId="6F0D26E3" w14:textId="77777777" w:rsidR="00E34962" w:rsidRPr="00416A92" w:rsidRDefault="00E34962" w:rsidP="00317572">
      <w:pPr>
        <w:pStyle w:val="BodyTextGrey"/>
        <w:numPr>
          <w:ilvl w:val="0"/>
          <w:numId w:val="20"/>
        </w:numPr>
        <w:ind w:left="567" w:hanging="567"/>
        <w:rPr>
          <w:sz w:val="24"/>
          <w:szCs w:val="24"/>
        </w:rPr>
      </w:pPr>
      <w:r w:rsidRPr="00416A92">
        <w:rPr>
          <w:sz w:val="24"/>
          <w:szCs w:val="24"/>
        </w:rPr>
        <w:t>the employer does not have tax-raising powers;</w:t>
      </w:r>
    </w:p>
    <w:p w14:paraId="6699BE82" w14:textId="78543FF0" w:rsidR="00E34962" w:rsidRPr="00416A92" w:rsidRDefault="00E34962" w:rsidP="00317572">
      <w:pPr>
        <w:pStyle w:val="BodyTextGrey"/>
        <w:numPr>
          <w:ilvl w:val="0"/>
          <w:numId w:val="20"/>
        </w:numPr>
        <w:ind w:left="567" w:hanging="567"/>
        <w:rPr>
          <w:sz w:val="24"/>
          <w:szCs w:val="24"/>
        </w:rPr>
      </w:pPr>
      <w:r w:rsidRPr="00416A92">
        <w:rPr>
          <w:sz w:val="24"/>
          <w:szCs w:val="24"/>
        </w:rPr>
        <w:t>the employer does not have a guarantor or other sufficient security backing its funding position;</w:t>
      </w:r>
      <w:r w:rsidR="00450498" w:rsidRPr="00416A92">
        <w:rPr>
          <w:sz w:val="24"/>
          <w:szCs w:val="24"/>
        </w:rPr>
        <w:t xml:space="preserve"> and/or</w:t>
      </w:r>
    </w:p>
    <w:p w14:paraId="332E7EBC" w14:textId="77777777" w:rsidR="00EC7495" w:rsidRPr="00416A92" w:rsidRDefault="00E34962" w:rsidP="00317572">
      <w:pPr>
        <w:pStyle w:val="BodyTextGrey"/>
        <w:numPr>
          <w:ilvl w:val="0"/>
          <w:numId w:val="20"/>
        </w:numPr>
        <w:ind w:left="567" w:hanging="567"/>
        <w:rPr>
          <w:sz w:val="24"/>
          <w:szCs w:val="24"/>
        </w:rPr>
      </w:pPr>
      <w:r w:rsidRPr="00416A92">
        <w:rPr>
          <w:sz w:val="24"/>
          <w:szCs w:val="24"/>
        </w:rPr>
        <w:t>the employer is likely to cease participation in the Fund in the short or medium term</w:t>
      </w:r>
      <w:r w:rsidR="00EC7495" w:rsidRPr="00416A92">
        <w:rPr>
          <w:sz w:val="24"/>
          <w:szCs w:val="24"/>
        </w:rPr>
        <w:t>.</w:t>
      </w:r>
    </w:p>
    <w:p w14:paraId="394EE156" w14:textId="77777777" w:rsidR="00926089" w:rsidRDefault="00926089" w:rsidP="00EC7495">
      <w:pPr>
        <w:pStyle w:val="BodyTextGrey"/>
        <w:rPr>
          <w:rStyle w:val="Heading3Char"/>
          <w:sz w:val="24"/>
          <w:szCs w:val="24"/>
        </w:rPr>
      </w:pPr>
      <w:bookmarkStart w:id="22" w:name="Notef"/>
    </w:p>
    <w:p w14:paraId="07DC3538" w14:textId="77777777" w:rsidR="00926089" w:rsidRDefault="00926089" w:rsidP="00EC7495">
      <w:pPr>
        <w:pStyle w:val="BodyTextGrey"/>
        <w:rPr>
          <w:rStyle w:val="Heading3Char"/>
          <w:sz w:val="24"/>
          <w:szCs w:val="24"/>
        </w:rPr>
      </w:pPr>
    </w:p>
    <w:p w14:paraId="19C0AF4B" w14:textId="7357BC35" w:rsidR="00EC7495" w:rsidRPr="00416A92" w:rsidRDefault="00EC7495" w:rsidP="00EC7495">
      <w:pPr>
        <w:pStyle w:val="BodyTextGrey"/>
        <w:rPr>
          <w:sz w:val="24"/>
          <w:szCs w:val="24"/>
        </w:rPr>
      </w:pPr>
      <w:r w:rsidRPr="00416A92">
        <w:rPr>
          <w:rStyle w:val="Heading3Char"/>
          <w:sz w:val="24"/>
          <w:szCs w:val="24"/>
        </w:rPr>
        <w:lastRenderedPageBreak/>
        <w:t>Note (f)</w:t>
      </w:r>
      <w:bookmarkEnd w:id="22"/>
      <w:r w:rsidRPr="00416A92">
        <w:rPr>
          <w:sz w:val="24"/>
          <w:szCs w:val="24"/>
        </w:rPr>
        <w:t xml:space="preserve"> </w:t>
      </w:r>
      <w:r w:rsidRPr="00416A92">
        <w:rPr>
          <w:rStyle w:val="Heading3Char"/>
          <w:sz w:val="24"/>
          <w:szCs w:val="24"/>
        </w:rPr>
        <w:t>(Regular Reviews)</w:t>
      </w:r>
    </w:p>
    <w:p w14:paraId="57F7CD3B" w14:textId="45674E50" w:rsidR="00062EB1" w:rsidRPr="00054A7E" w:rsidRDefault="00062EB1" w:rsidP="00062EB1">
      <w:pPr>
        <w:pStyle w:val="BulletHymans"/>
        <w:jc w:val="both"/>
        <w:rPr>
          <w:sz w:val="24"/>
          <w:szCs w:val="24"/>
        </w:rPr>
      </w:pPr>
      <w:r w:rsidRPr="00054A7E">
        <w:rPr>
          <w:sz w:val="24"/>
          <w:szCs w:val="24"/>
        </w:rPr>
        <w:t xml:space="preserve">Under the Regulations the Fund may amend contribution rates </w:t>
      </w:r>
      <w:r w:rsidR="00D62F6B" w:rsidRPr="00054A7E">
        <w:rPr>
          <w:sz w:val="24"/>
          <w:szCs w:val="24"/>
        </w:rPr>
        <w:t xml:space="preserve">(and, where relevant, security amounts) </w:t>
      </w:r>
      <w:r w:rsidRPr="00054A7E">
        <w:rPr>
          <w:sz w:val="24"/>
          <w:szCs w:val="24"/>
        </w:rPr>
        <w:t xml:space="preserve">between valuations where there has been “significant change” to the liabilities or covenant of an employer. The Fund would consider the following circumstances as a potential trigger for review: </w:t>
      </w:r>
    </w:p>
    <w:p w14:paraId="58894638" w14:textId="77777777" w:rsidR="00062EB1" w:rsidRPr="00054A7E" w:rsidRDefault="00062EB1" w:rsidP="00062EB1">
      <w:pPr>
        <w:pStyle w:val="BodyTextGrey"/>
        <w:numPr>
          <w:ilvl w:val="0"/>
          <w:numId w:val="67"/>
        </w:numPr>
        <w:rPr>
          <w:sz w:val="24"/>
          <w:szCs w:val="24"/>
        </w:rPr>
      </w:pPr>
      <w:r w:rsidRPr="00054A7E">
        <w:rPr>
          <w:sz w:val="24"/>
          <w:szCs w:val="24"/>
        </w:rPr>
        <w:t>in the opinion of an Administering Authority there are circumstances which make it likely that an employer (including an admission body) will become an exiting employer sooner than anticipated at the last valuation;</w:t>
      </w:r>
    </w:p>
    <w:p w14:paraId="2557C0DD" w14:textId="033BB9CA" w:rsidR="00062EB1" w:rsidRPr="00054A7E" w:rsidRDefault="00062EB1" w:rsidP="00062EB1">
      <w:pPr>
        <w:pStyle w:val="BodyTextGrey"/>
        <w:numPr>
          <w:ilvl w:val="0"/>
          <w:numId w:val="67"/>
        </w:numPr>
        <w:rPr>
          <w:sz w:val="24"/>
          <w:szCs w:val="24"/>
        </w:rPr>
      </w:pPr>
      <w:r w:rsidRPr="00054A7E">
        <w:rPr>
          <w:sz w:val="24"/>
          <w:szCs w:val="24"/>
        </w:rPr>
        <w:t xml:space="preserve">an employer is approaching exit from the scheme within the next </w:t>
      </w:r>
      <w:r w:rsidR="00486376" w:rsidRPr="00054A7E">
        <w:rPr>
          <w:sz w:val="24"/>
          <w:szCs w:val="24"/>
        </w:rPr>
        <w:t>three</w:t>
      </w:r>
      <w:r w:rsidRPr="00054A7E">
        <w:rPr>
          <w:sz w:val="24"/>
          <w:szCs w:val="24"/>
        </w:rPr>
        <w:t xml:space="preserve"> years; </w:t>
      </w:r>
    </w:p>
    <w:p w14:paraId="328EB50E" w14:textId="486A5C74" w:rsidR="00062EB1" w:rsidRPr="00054A7E" w:rsidRDefault="00062EB1" w:rsidP="00062EB1">
      <w:pPr>
        <w:pStyle w:val="BodyTextGrey"/>
        <w:numPr>
          <w:ilvl w:val="0"/>
          <w:numId w:val="67"/>
        </w:numPr>
        <w:rPr>
          <w:sz w:val="24"/>
          <w:szCs w:val="24"/>
        </w:rPr>
      </w:pPr>
      <w:r w:rsidRPr="00054A7E">
        <w:rPr>
          <w:sz w:val="24"/>
          <w:szCs w:val="24"/>
        </w:rPr>
        <w:t xml:space="preserve">an employer agrees to pay increased contributions to meet the cost of an award of additional pension, under </w:t>
      </w:r>
      <w:r w:rsidRPr="00054A7E">
        <w:rPr>
          <w:color w:val="auto"/>
          <w:sz w:val="24"/>
          <w:szCs w:val="24"/>
        </w:rPr>
        <w:t>Regulation 31(3)</w:t>
      </w:r>
      <w:r w:rsidRPr="00054A7E">
        <w:rPr>
          <w:sz w:val="24"/>
          <w:szCs w:val="24"/>
        </w:rPr>
        <w:t>;</w:t>
      </w:r>
    </w:p>
    <w:p w14:paraId="27C49A9A" w14:textId="1BAB61A5" w:rsidR="00062EB1" w:rsidRPr="00054A7E" w:rsidRDefault="00062EB1" w:rsidP="00062EB1">
      <w:pPr>
        <w:pStyle w:val="BodyTextGrey"/>
        <w:numPr>
          <w:ilvl w:val="0"/>
          <w:numId w:val="67"/>
        </w:numPr>
        <w:rPr>
          <w:sz w:val="24"/>
          <w:szCs w:val="24"/>
        </w:rPr>
      </w:pPr>
      <w:r w:rsidRPr="00054A7E">
        <w:rPr>
          <w:sz w:val="24"/>
          <w:szCs w:val="24"/>
        </w:rPr>
        <w:t>there are changes to the benefit structure set out in the LGPS Regulations including the outcomes of the McCloud case and cost sharing mechanisms which have not been allowed for at the last valuation;</w:t>
      </w:r>
    </w:p>
    <w:p w14:paraId="3C6BC87B" w14:textId="77777777" w:rsidR="00062EB1" w:rsidRPr="00054A7E" w:rsidRDefault="00062EB1" w:rsidP="00062EB1">
      <w:pPr>
        <w:pStyle w:val="BodyTextGrey"/>
        <w:numPr>
          <w:ilvl w:val="0"/>
          <w:numId w:val="67"/>
        </w:numPr>
        <w:rPr>
          <w:sz w:val="24"/>
          <w:szCs w:val="24"/>
        </w:rPr>
      </w:pPr>
      <w:r w:rsidRPr="00054A7E">
        <w:rPr>
          <w:sz w:val="24"/>
          <w:szCs w:val="24"/>
        </w:rPr>
        <w:t>it appears likely to the Administering Authority that the amount of the liabilities arising or likely to arise for an employer or employers has changed significantly since the last valuation;</w:t>
      </w:r>
    </w:p>
    <w:p w14:paraId="0DF6FBEA" w14:textId="77777777" w:rsidR="00062EB1" w:rsidRPr="00054A7E" w:rsidRDefault="00062EB1" w:rsidP="00062EB1">
      <w:pPr>
        <w:pStyle w:val="BodyTextGrey"/>
        <w:numPr>
          <w:ilvl w:val="0"/>
          <w:numId w:val="67"/>
        </w:numPr>
        <w:rPr>
          <w:sz w:val="24"/>
          <w:szCs w:val="24"/>
        </w:rPr>
      </w:pPr>
      <w:r w:rsidRPr="00054A7E">
        <w:rPr>
          <w:sz w:val="24"/>
          <w:szCs w:val="24"/>
        </w:rPr>
        <w:t xml:space="preserve">it appears likely to the Administering Authority that there has been a significant change in the ability of an employer or employers to meet their obligations (i.e. a material change in employer covenant); </w:t>
      </w:r>
    </w:p>
    <w:p w14:paraId="572B02B1" w14:textId="77777777" w:rsidR="00062EB1" w:rsidRPr="00054A7E" w:rsidRDefault="00062EB1" w:rsidP="00062EB1">
      <w:pPr>
        <w:pStyle w:val="BodyTextGrey"/>
        <w:numPr>
          <w:ilvl w:val="0"/>
          <w:numId w:val="67"/>
        </w:numPr>
        <w:rPr>
          <w:sz w:val="24"/>
          <w:szCs w:val="24"/>
        </w:rPr>
      </w:pPr>
      <w:r w:rsidRPr="00054A7E">
        <w:rPr>
          <w:sz w:val="24"/>
          <w:szCs w:val="24"/>
        </w:rPr>
        <w:t xml:space="preserve">it appears to the Administering Authority that the membership of the employer has changed materially due to events such as bulk transfers, significant reductions to payroll or large-scale restructuring; or </w:t>
      </w:r>
    </w:p>
    <w:p w14:paraId="28133378" w14:textId="77777777" w:rsidR="00062EB1" w:rsidRPr="00054A7E" w:rsidRDefault="00062EB1" w:rsidP="00062EB1">
      <w:pPr>
        <w:pStyle w:val="BodyTextGrey"/>
        <w:numPr>
          <w:ilvl w:val="0"/>
          <w:numId w:val="67"/>
        </w:numPr>
        <w:rPr>
          <w:sz w:val="24"/>
          <w:szCs w:val="24"/>
        </w:rPr>
      </w:pPr>
      <w:r w:rsidRPr="00054A7E">
        <w:rPr>
          <w:sz w:val="24"/>
          <w:szCs w:val="24"/>
        </w:rPr>
        <w:t>where an employer has failed to pay contributions or has not arranged appropriate security as required by the Administering Authority.</w:t>
      </w:r>
    </w:p>
    <w:p w14:paraId="03AA3D0B" w14:textId="142AE9C7" w:rsidR="00062EB1" w:rsidRPr="00054A7E" w:rsidRDefault="00062EB1" w:rsidP="002F7970">
      <w:pPr>
        <w:pStyle w:val="BodyText"/>
        <w:spacing w:before="1" w:line="290" w:lineRule="auto"/>
        <w:ind w:left="112"/>
        <w:jc w:val="left"/>
        <w:rPr>
          <w:color w:val="45545F"/>
          <w:sz w:val="24"/>
          <w:szCs w:val="24"/>
        </w:rPr>
      </w:pPr>
      <w:r w:rsidRPr="00054A7E">
        <w:rPr>
          <w:color w:val="45545F"/>
          <w:sz w:val="24"/>
          <w:szCs w:val="24"/>
        </w:rPr>
        <w:t>The Administering Authority will also consider a request from any employer to review contributions where the employer has undertaken to meet the costs of that review and sets out the reasoning for the review (which would be expected to fall into one of the above categories, such as a belief that their covenant has changed materially or they are going through a significant restructuring impacting their membership</w:t>
      </w:r>
      <w:r w:rsidR="00606ED7" w:rsidRPr="00054A7E">
        <w:rPr>
          <w:color w:val="45545F"/>
          <w:sz w:val="24"/>
          <w:szCs w:val="24"/>
        </w:rPr>
        <w:t>) and backing</w:t>
      </w:r>
      <w:r w:rsidRPr="00054A7E">
        <w:rPr>
          <w:color w:val="45545F"/>
          <w:sz w:val="24"/>
          <w:szCs w:val="24"/>
        </w:rPr>
        <w:t xml:space="preserve"> evidence </w:t>
      </w:r>
      <w:r w:rsidR="00606ED7" w:rsidRPr="00054A7E">
        <w:rPr>
          <w:color w:val="45545F"/>
          <w:sz w:val="24"/>
          <w:szCs w:val="24"/>
        </w:rPr>
        <w:t xml:space="preserve">such as </w:t>
      </w:r>
      <w:r w:rsidRPr="00054A7E">
        <w:rPr>
          <w:color w:val="45545F"/>
          <w:sz w:val="24"/>
          <w:szCs w:val="24"/>
        </w:rPr>
        <w:t xml:space="preserve">financial forecasts and budgets. The Administering Authority will endeavour to complete any review within </w:t>
      </w:r>
      <w:r w:rsidR="009B7D93" w:rsidRPr="00054A7E">
        <w:rPr>
          <w:color w:val="45545F"/>
          <w:sz w:val="24"/>
          <w:szCs w:val="24"/>
        </w:rPr>
        <w:t>three</w:t>
      </w:r>
      <w:r w:rsidRPr="00054A7E">
        <w:rPr>
          <w:color w:val="45545F"/>
          <w:sz w:val="24"/>
          <w:szCs w:val="24"/>
        </w:rPr>
        <w:t xml:space="preserve"> months of request subject to receipt of satisfactory evidence, and will monitor any change in an employer’s circumstances on a regular basis following any change in contribution rate</w:t>
      </w:r>
      <w:r w:rsidR="00B90094" w:rsidRPr="00054A7E">
        <w:rPr>
          <w:color w:val="45545F"/>
          <w:sz w:val="24"/>
          <w:szCs w:val="24"/>
        </w:rPr>
        <w:t xml:space="preserve">: it </w:t>
      </w:r>
      <w:r w:rsidRPr="00054A7E">
        <w:rPr>
          <w:color w:val="45545F"/>
          <w:sz w:val="24"/>
          <w:szCs w:val="24"/>
        </w:rPr>
        <w:t xml:space="preserve">may require further information from the employer to support this monitoring process. </w:t>
      </w:r>
    </w:p>
    <w:p w14:paraId="34F4762F" w14:textId="2E8F6751" w:rsidR="00062EB1" w:rsidRPr="00054A7E" w:rsidRDefault="00062EB1" w:rsidP="002F7970">
      <w:pPr>
        <w:pStyle w:val="BodyText"/>
        <w:spacing w:before="1" w:line="290" w:lineRule="auto"/>
        <w:ind w:left="112"/>
        <w:jc w:val="left"/>
        <w:rPr>
          <w:color w:val="45545F"/>
          <w:sz w:val="24"/>
          <w:szCs w:val="24"/>
        </w:rPr>
      </w:pPr>
      <w:r w:rsidRPr="00054A7E">
        <w:rPr>
          <w:color w:val="45545F"/>
          <w:sz w:val="24"/>
          <w:szCs w:val="24"/>
        </w:rPr>
        <w:t xml:space="preserve">Except in circumstances such as an employer nearing cessation, the Administering Authority will not consider market volatility or changes to asset values as a </w:t>
      </w:r>
      <w:r w:rsidR="005E48A3" w:rsidRPr="00054A7E">
        <w:rPr>
          <w:color w:val="45545F"/>
          <w:sz w:val="24"/>
          <w:szCs w:val="24"/>
        </w:rPr>
        <w:t xml:space="preserve">sole </w:t>
      </w:r>
      <w:r w:rsidRPr="00054A7E">
        <w:rPr>
          <w:color w:val="45545F"/>
          <w:sz w:val="24"/>
          <w:szCs w:val="24"/>
        </w:rPr>
        <w:t xml:space="preserve">basis for a </w:t>
      </w:r>
      <w:r w:rsidR="005E48A3" w:rsidRPr="00054A7E">
        <w:rPr>
          <w:color w:val="45545F"/>
          <w:sz w:val="24"/>
          <w:szCs w:val="24"/>
        </w:rPr>
        <w:t>review of</w:t>
      </w:r>
      <w:r w:rsidRPr="00054A7E">
        <w:rPr>
          <w:color w:val="45545F"/>
          <w:sz w:val="24"/>
          <w:szCs w:val="24"/>
        </w:rPr>
        <w:t xml:space="preserve"> contributions outside a formal valuation.  </w:t>
      </w:r>
    </w:p>
    <w:p w14:paraId="2166C2D7" w14:textId="77777777" w:rsidR="00062EB1" w:rsidRDefault="00062EB1" w:rsidP="002F7970">
      <w:pPr>
        <w:pStyle w:val="BodyText"/>
        <w:spacing w:before="1" w:line="290" w:lineRule="auto"/>
        <w:ind w:left="112"/>
        <w:jc w:val="left"/>
        <w:rPr>
          <w:color w:val="45545F"/>
        </w:rPr>
      </w:pPr>
      <w:r w:rsidRPr="00054A7E">
        <w:rPr>
          <w:color w:val="45545F"/>
          <w:sz w:val="24"/>
          <w:szCs w:val="24"/>
        </w:rPr>
        <w:lastRenderedPageBreak/>
        <w:t>It should be noted that any review may require increased contributions. The Administering Authority may need to consult other fund employers e.g. where they act as guarantor, as part of a review.</w:t>
      </w:r>
      <w:r>
        <w:rPr>
          <w:color w:val="45545F"/>
        </w:rPr>
        <w:t xml:space="preserve"> </w:t>
      </w:r>
    </w:p>
    <w:p w14:paraId="0A226B74" w14:textId="0BC1AD36" w:rsidR="00312901" w:rsidRPr="00416A92" w:rsidRDefault="00317572" w:rsidP="00872580">
      <w:pPr>
        <w:pStyle w:val="BodyTextGrey"/>
        <w:rPr>
          <w:rStyle w:val="Heading3Char"/>
          <w:sz w:val="24"/>
          <w:szCs w:val="24"/>
        </w:rPr>
      </w:pPr>
      <w:r w:rsidRPr="00416A92">
        <w:rPr>
          <w:sz w:val="24"/>
          <w:szCs w:val="24"/>
        </w:rPr>
        <w:t xml:space="preserve"> </w:t>
      </w:r>
    </w:p>
    <w:p w14:paraId="6580F237" w14:textId="62B25D46" w:rsidR="00EC7495" w:rsidRPr="00416A92" w:rsidRDefault="00EC7495" w:rsidP="00EC7495">
      <w:pPr>
        <w:pStyle w:val="BodyTextGrey"/>
        <w:rPr>
          <w:sz w:val="24"/>
          <w:szCs w:val="24"/>
        </w:rPr>
      </w:pPr>
      <w:bookmarkStart w:id="23" w:name="Noteg"/>
      <w:r w:rsidRPr="00416A92">
        <w:rPr>
          <w:rStyle w:val="Heading3Char"/>
          <w:sz w:val="24"/>
          <w:szCs w:val="24"/>
        </w:rPr>
        <w:t>Note (g)</w:t>
      </w:r>
      <w:bookmarkEnd w:id="23"/>
      <w:r w:rsidRPr="00416A92">
        <w:rPr>
          <w:sz w:val="24"/>
          <w:szCs w:val="24"/>
        </w:rPr>
        <w:t xml:space="preserve"> </w:t>
      </w:r>
      <w:r w:rsidRPr="00416A92">
        <w:rPr>
          <w:rStyle w:val="Heading3Char"/>
          <w:sz w:val="24"/>
          <w:szCs w:val="24"/>
        </w:rPr>
        <w:t xml:space="preserve">(New Academy </w:t>
      </w:r>
      <w:r w:rsidR="00A31948" w:rsidRPr="00416A92">
        <w:rPr>
          <w:rStyle w:val="Heading3Char"/>
          <w:sz w:val="24"/>
          <w:szCs w:val="24"/>
        </w:rPr>
        <w:t>conversions</w:t>
      </w:r>
      <w:r w:rsidRPr="00416A92">
        <w:rPr>
          <w:rStyle w:val="Heading3Char"/>
          <w:sz w:val="24"/>
          <w:szCs w:val="24"/>
        </w:rPr>
        <w:t>)</w:t>
      </w:r>
    </w:p>
    <w:p w14:paraId="1ED92736" w14:textId="2F3ADF13" w:rsidR="00EC7495" w:rsidRPr="00416A92" w:rsidRDefault="00EC7495" w:rsidP="00EC7495">
      <w:pPr>
        <w:pStyle w:val="BodyTextGrey"/>
        <w:rPr>
          <w:sz w:val="24"/>
          <w:szCs w:val="24"/>
        </w:rPr>
      </w:pPr>
      <w:r w:rsidRPr="00416A92">
        <w:rPr>
          <w:sz w:val="24"/>
          <w:szCs w:val="24"/>
        </w:rPr>
        <w:t>At the time of writing,</w:t>
      </w:r>
      <w:r w:rsidR="00317572" w:rsidRPr="00416A92">
        <w:rPr>
          <w:sz w:val="24"/>
          <w:szCs w:val="24"/>
        </w:rPr>
        <w:t xml:space="preserve"> there have been no Council schools converting to become academies in the Fund.  However, if such a converted academy were to join the Fund then</w:t>
      </w:r>
      <w:r w:rsidRPr="00416A92">
        <w:rPr>
          <w:sz w:val="24"/>
          <w:szCs w:val="24"/>
        </w:rPr>
        <w:t xml:space="preserve"> the Fund’s policies on academies’ funding issues are as follows: </w:t>
      </w:r>
    </w:p>
    <w:p w14:paraId="0BC2066E" w14:textId="41033EF2" w:rsidR="00EC7495" w:rsidRPr="00416A92" w:rsidRDefault="00EC7495" w:rsidP="00C728B0">
      <w:pPr>
        <w:pStyle w:val="BodyTextGrey"/>
        <w:numPr>
          <w:ilvl w:val="0"/>
          <w:numId w:val="21"/>
        </w:numPr>
        <w:ind w:left="567" w:hanging="425"/>
        <w:rPr>
          <w:sz w:val="24"/>
          <w:szCs w:val="24"/>
        </w:rPr>
      </w:pPr>
      <w:r w:rsidRPr="00416A92">
        <w:rPr>
          <w:sz w:val="24"/>
          <w:szCs w:val="24"/>
        </w:rPr>
        <w:t xml:space="preserve">The new academy will be regarded as a separate employer in its own right and will not be pooled with other employers in the Fund. </w:t>
      </w:r>
      <w:r w:rsidR="00312901" w:rsidRPr="00416A92">
        <w:rPr>
          <w:sz w:val="24"/>
          <w:szCs w:val="24"/>
        </w:rPr>
        <w:t xml:space="preserve"> </w:t>
      </w:r>
      <w:r w:rsidRPr="00416A92">
        <w:rPr>
          <w:sz w:val="24"/>
          <w:szCs w:val="24"/>
        </w:rPr>
        <w:t>The only exception is where the academy is part of a Multi Academy Trust (MAT) in which case the academy’s figures will be calculated as below but can be combined with those of the other academies in the MAT;</w:t>
      </w:r>
    </w:p>
    <w:p w14:paraId="2D7D6C33" w14:textId="77777777" w:rsidR="00EC7495" w:rsidRPr="00416A92" w:rsidRDefault="00EC7495" w:rsidP="00C728B0">
      <w:pPr>
        <w:pStyle w:val="BodyTextGrey"/>
        <w:numPr>
          <w:ilvl w:val="0"/>
          <w:numId w:val="21"/>
        </w:numPr>
        <w:ind w:left="567" w:hanging="425"/>
        <w:rPr>
          <w:sz w:val="24"/>
          <w:szCs w:val="24"/>
        </w:rPr>
      </w:pPr>
      <w:r w:rsidRPr="00416A92">
        <w:rPr>
          <w:sz w:val="24"/>
          <w:szCs w:val="24"/>
        </w:rPr>
        <w:t xml:space="preserve">The new academy’s past service liabilities on conversion will be calculated based on its active Fund members on the day before conversion. </w:t>
      </w:r>
      <w:r w:rsidR="00312901" w:rsidRPr="00416A92">
        <w:rPr>
          <w:sz w:val="24"/>
          <w:szCs w:val="24"/>
        </w:rPr>
        <w:t xml:space="preserve"> </w:t>
      </w:r>
      <w:r w:rsidRPr="00416A92">
        <w:rPr>
          <w:sz w:val="24"/>
          <w:szCs w:val="24"/>
        </w:rPr>
        <w:t>For the avoidance of doubt, these liabilities will include all past service of those members, but will exclude the liabilities relating to any ex-employees of the school who have deferred or pensioner status;</w:t>
      </w:r>
    </w:p>
    <w:p w14:paraId="3FACA9E2" w14:textId="4F83909D" w:rsidR="00EC7495" w:rsidRPr="00416A92" w:rsidRDefault="00EC7495" w:rsidP="00C728B0">
      <w:pPr>
        <w:pStyle w:val="BodyTextGrey"/>
        <w:numPr>
          <w:ilvl w:val="0"/>
          <w:numId w:val="21"/>
        </w:numPr>
        <w:ind w:left="567" w:hanging="425"/>
        <w:rPr>
          <w:sz w:val="24"/>
          <w:szCs w:val="24"/>
        </w:rPr>
      </w:pPr>
      <w:r w:rsidRPr="00416A92">
        <w:rPr>
          <w:sz w:val="24"/>
          <w:szCs w:val="24"/>
        </w:rPr>
        <w:t xml:space="preserve">The new academy will be allocated an initial asset share from the ceding council’s assets in the Fund. </w:t>
      </w:r>
      <w:r w:rsidR="00312901" w:rsidRPr="00416A92">
        <w:rPr>
          <w:sz w:val="24"/>
          <w:szCs w:val="24"/>
        </w:rPr>
        <w:t xml:space="preserve"> </w:t>
      </w:r>
      <w:r w:rsidRPr="00416A92">
        <w:rPr>
          <w:sz w:val="24"/>
          <w:szCs w:val="24"/>
        </w:rPr>
        <w:t xml:space="preserve">This asset share will be calculated using the estimated funding position of the ceding council at the date of academy conversion. </w:t>
      </w:r>
      <w:r w:rsidR="00312901" w:rsidRPr="00416A92">
        <w:rPr>
          <w:sz w:val="24"/>
          <w:szCs w:val="24"/>
        </w:rPr>
        <w:t xml:space="preserve"> </w:t>
      </w:r>
      <w:r w:rsidRPr="00416A92">
        <w:rPr>
          <w:sz w:val="24"/>
          <w:szCs w:val="24"/>
        </w:rPr>
        <w:t xml:space="preserve">The share will be based on the active members’ funding level, having first allocated assets in the council’s share to fully fund deferred and pensioner members. </w:t>
      </w:r>
      <w:r w:rsidR="00312901" w:rsidRPr="00416A92">
        <w:rPr>
          <w:sz w:val="24"/>
          <w:szCs w:val="24"/>
        </w:rPr>
        <w:t xml:space="preserve"> </w:t>
      </w:r>
      <w:r w:rsidR="0048670D" w:rsidRPr="00416A92">
        <w:rPr>
          <w:sz w:val="24"/>
          <w:szCs w:val="24"/>
        </w:rPr>
        <w:t xml:space="preserve">The assets allocated to the academy will be limited if necessary so that its initial funding level is subject to a maximum of 100%.  </w:t>
      </w:r>
      <w:r w:rsidRPr="00416A92">
        <w:rPr>
          <w:sz w:val="24"/>
          <w:szCs w:val="24"/>
        </w:rPr>
        <w:t>The asset allocation will be based on market conditions and the academy’s active Fund membership on the day prior to conversion;</w:t>
      </w:r>
    </w:p>
    <w:p w14:paraId="0C30F54D" w14:textId="6584583B" w:rsidR="0048670D" w:rsidRPr="00416A92" w:rsidRDefault="0048670D" w:rsidP="0048670D">
      <w:pPr>
        <w:pStyle w:val="BodyTextGrey"/>
        <w:numPr>
          <w:ilvl w:val="0"/>
          <w:numId w:val="21"/>
        </w:numPr>
        <w:ind w:left="567" w:hanging="425"/>
        <w:rPr>
          <w:sz w:val="24"/>
          <w:szCs w:val="24"/>
        </w:rPr>
      </w:pPr>
      <w:r w:rsidRPr="00416A92">
        <w:rPr>
          <w:sz w:val="24"/>
          <w:szCs w:val="24"/>
        </w:rPr>
        <w:t xml:space="preserve"> The new academy’s calculated contribution rate will be based on the time horizon and likelihood of achieving funding target outlined for Academies in the table in Section </w:t>
      </w:r>
      <w:hyperlink w:anchor="TheDifferentApproachesUsedForDiffEmps3_3" w:history="1">
        <w:r w:rsidRPr="00416A92">
          <w:rPr>
            <w:rStyle w:val="Hyperlink"/>
            <w:sz w:val="24"/>
            <w:szCs w:val="24"/>
          </w:rPr>
          <w:t>3.3</w:t>
        </w:r>
      </w:hyperlink>
      <w:r w:rsidRPr="00416A92">
        <w:rPr>
          <w:sz w:val="24"/>
          <w:szCs w:val="24"/>
        </w:rPr>
        <w:t xml:space="preserve"> above</w:t>
      </w:r>
    </w:p>
    <w:p w14:paraId="340B62D4" w14:textId="3EFF92FF" w:rsidR="00EC7495" w:rsidRPr="00416A92" w:rsidRDefault="00EC7495" w:rsidP="00EC7495">
      <w:pPr>
        <w:pStyle w:val="BodyTextGrey"/>
        <w:rPr>
          <w:sz w:val="24"/>
          <w:szCs w:val="24"/>
        </w:rPr>
      </w:pPr>
      <w:r w:rsidRPr="00416A92">
        <w:rPr>
          <w:sz w:val="24"/>
          <w:szCs w:val="24"/>
        </w:rPr>
        <w:t xml:space="preserve">The Fund’s policies on academies are subject to change in the light of any amendments to </w:t>
      </w:r>
      <w:r w:rsidR="003B5E98" w:rsidRPr="00416A92">
        <w:rPr>
          <w:sz w:val="24"/>
          <w:szCs w:val="24"/>
        </w:rPr>
        <w:t>MHCLG</w:t>
      </w:r>
      <w:r w:rsidRPr="00416A92">
        <w:rPr>
          <w:sz w:val="24"/>
          <w:szCs w:val="24"/>
        </w:rPr>
        <w:t xml:space="preserve"> </w:t>
      </w:r>
      <w:r w:rsidR="004A33F1" w:rsidRPr="00416A92">
        <w:rPr>
          <w:sz w:val="24"/>
          <w:szCs w:val="24"/>
        </w:rPr>
        <w:t xml:space="preserve">and/or DfE </w:t>
      </w:r>
      <w:r w:rsidRPr="00416A92">
        <w:rPr>
          <w:sz w:val="24"/>
          <w:szCs w:val="24"/>
        </w:rPr>
        <w:t>guidance</w:t>
      </w:r>
      <w:r w:rsidR="004A33F1" w:rsidRPr="00416A92">
        <w:rPr>
          <w:sz w:val="24"/>
          <w:szCs w:val="24"/>
        </w:rPr>
        <w:t xml:space="preserve"> (or removal of the formal guarantee currently provided to academies by the DfE).</w:t>
      </w:r>
      <w:r w:rsidRPr="00416A92">
        <w:rPr>
          <w:sz w:val="24"/>
          <w:szCs w:val="24"/>
        </w:rPr>
        <w:t xml:space="preserve"> Any changes will be notified to academies, and will be reflected in a subsequent version of this FSS. In particular, policies (</w:t>
      </w:r>
      <w:r w:rsidR="00A31948" w:rsidRPr="00416A92">
        <w:rPr>
          <w:sz w:val="24"/>
          <w:szCs w:val="24"/>
        </w:rPr>
        <w:t>iv</w:t>
      </w:r>
      <w:r w:rsidRPr="00416A92">
        <w:rPr>
          <w:sz w:val="24"/>
          <w:szCs w:val="24"/>
        </w:rPr>
        <w:t>) and (</w:t>
      </w:r>
      <w:r w:rsidR="00A31948" w:rsidRPr="00416A92">
        <w:rPr>
          <w:sz w:val="24"/>
          <w:szCs w:val="24"/>
        </w:rPr>
        <w:t>v</w:t>
      </w:r>
      <w:r w:rsidRPr="00416A92">
        <w:rPr>
          <w:sz w:val="24"/>
          <w:szCs w:val="24"/>
        </w:rPr>
        <w:t>) above will be reconsidered at each valuation.</w:t>
      </w:r>
    </w:p>
    <w:p w14:paraId="33DB3243" w14:textId="77777777" w:rsidR="00EC7495" w:rsidRPr="00416A92" w:rsidRDefault="00EC7495" w:rsidP="00EC7495">
      <w:pPr>
        <w:pStyle w:val="BodyTextGrey"/>
        <w:rPr>
          <w:sz w:val="24"/>
          <w:szCs w:val="24"/>
        </w:rPr>
      </w:pPr>
      <w:bookmarkStart w:id="24" w:name="Noteh"/>
      <w:r w:rsidRPr="00416A92">
        <w:rPr>
          <w:rStyle w:val="Heading3Char"/>
          <w:sz w:val="24"/>
          <w:szCs w:val="24"/>
        </w:rPr>
        <w:t>Note (h)</w:t>
      </w:r>
      <w:bookmarkEnd w:id="24"/>
      <w:r w:rsidRPr="00416A92">
        <w:rPr>
          <w:sz w:val="24"/>
          <w:szCs w:val="24"/>
        </w:rPr>
        <w:t xml:space="preserve"> </w:t>
      </w:r>
      <w:r w:rsidRPr="00416A92">
        <w:rPr>
          <w:rStyle w:val="Heading3Char"/>
          <w:sz w:val="24"/>
          <w:szCs w:val="24"/>
        </w:rPr>
        <w:t>(New Admission Bodies)</w:t>
      </w:r>
    </w:p>
    <w:p w14:paraId="7B24069C" w14:textId="77777777" w:rsidR="00EC7495" w:rsidRPr="00416A92" w:rsidRDefault="00EC7495" w:rsidP="00EC7495">
      <w:pPr>
        <w:pStyle w:val="BodyTextGrey"/>
        <w:rPr>
          <w:sz w:val="24"/>
          <w:szCs w:val="24"/>
        </w:rPr>
      </w:pPr>
      <w:r w:rsidRPr="00416A92">
        <w:rPr>
          <w:sz w:val="24"/>
          <w:szCs w:val="24"/>
        </w:rPr>
        <w:t xml:space="preserve">With effect from 1 October 2012, the LGPS 2012 Miscellaneous Regulations introduced mandatory new requirements for all Admission Bodies brought into the Fund from that date. </w:t>
      </w:r>
      <w:r w:rsidR="00B87220" w:rsidRPr="00416A92">
        <w:rPr>
          <w:sz w:val="24"/>
          <w:szCs w:val="24"/>
        </w:rPr>
        <w:t xml:space="preserve"> </w:t>
      </w:r>
      <w:r w:rsidRPr="00416A92">
        <w:rPr>
          <w:sz w:val="24"/>
          <w:szCs w:val="24"/>
        </w:rPr>
        <w:t xml:space="preserve">Under these Regulations, all new Admission Bodies will be required to provide some form of security, such as a guarantee from the letting employer, an indemnity or a bond. </w:t>
      </w:r>
      <w:r w:rsidR="00B87220" w:rsidRPr="00416A92">
        <w:rPr>
          <w:sz w:val="24"/>
          <w:szCs w:val="24"/>
        </w:rPr>
        <w:t xml:space="preserve"> </w:t>
      </w:r>
      <w:r w:rsidRPr="00416A92">
        <w:rPr>
          <w:sz w:val="24"/>
          <w:szCs w:val="24"/>
        </w:rPr>
        <w:t>The security is required to cover some or all of the following:</w:t>
      </w:r>
    </w:p>
    <w:p w14:paraId="301E7972" w14:textId="77777777" w:rsidR="00EC7495" w:rsidRPr="00416A92" w:rsidRDefault="00EC7495" w:rsidP="00317572">
      <w:pPr>
        <w:pStyle w:val="BulletHymans"/>
        <w:numPr>
          <w:ilvl w:val="0"/>
          <w:numId w:val="42"/>
        </w:numPr>
        <w:ind w:left="567" w:hanging="567"/>
        <w:rPr>
          <w:sz w:val="24"/>
          <w:szCs w:val="24"/>
        </w:rPr>
      </w:pPr>
      <w:r w:rsidRPr="00416A92">
        <w:rPr>
          <w:sz w:val="24"/>
          <w:szCs w:val="24"/>
        </w:rPr>
        <w:t>the strain cost of any redundancy early retirements resulting from the premature termination of the contract;</w:t>
      </w:r>
    </w:p>
    <w:p w14:paraId="1C25DE1D" w14:textId="77777777" w:rsidR="00EC7495" w:rsidRPr="00416A92" w:rsidRDefault="00EC7495" w:rsidP="00317572">
      <w:pPr>
        <w:pStyle w:val="BulletHymans"/>
        <w:numPr>
          <w:ilvl w:val="0"/>
          <w:numId w:val="42"/>
        </w:numPr>
        <w:ind w:left="567" w:hanging="567"/>
        <w:rPr>
          <w:sz w:val="24"/>
          <w:szCs w:val="24"/>
        </w:rPr>
      </w:pPr>
      <w:r w:rsidRPr="00416A92">
        <w:rPr>
          <w:sz w:val="24"/>
          <w:szCs w:val="24"/>
        </w:rPr>
        <w:lastRenderedPageBreak/>
        <w:t>allowance for the risk of asset underperformance;</w:t>
      </w:r>
    </w:p>
    <w:p w14:paraId="73C6ADE3" w14:textId="6DB706D8" w:rsidR="00EC7495" w:rsidRPr="00416A92" w:rsidRDefault="00EC7495" w:rsidP="00317572">
      <w:pPr>
        <w:pStyle w:val="BulletHymans"/>
        <w:numPr>
          <w:ilvl w:val="0"/>
          <w:numId w:val="42"/>
        </w:numPr>
        <w:ind w:left="567" w:hanging="567"/>
        <w:rPr>
          <w:sz w:val="24"/>
          <w:szCs w:val="24"/>
        </w:rPr>
      </w:pPr>
      <w:r w:rsidRPr="00416A92">
        <w:rPr>
          <w:sz w:val="24"/>
          <w:szCs w:val="24"/>
        </w:rPr>
        <w:t xml:space="preserve">allowance for the risk of a </w:t>
      </w:r>
      <w:r w:rsidR="004A33F1" w:rsidRPr="00416A92">
        <w:rPr>
          <w:sz w:val="24"/>
          <w:szCs w:val="24"/>
        </w:rPr>
        <w:t>greater than expected rise in liabilities</w:t>
      </w:r>
      <w:r w:rsidRPr="00416A92">
        <w:rPr>
          <w:sz w:val="24"/>
          <w:szCs w:val="24"/>
        </w:rPr>
        <w:t>;</w:t>
      </w:r>
    </w:p>
    <w:p w14:paraId="2809D5E0" w14:textId="7BA19774" w:rsidR="00EC7495" w:rsidRPr="00416A92" w:rsidRDefault="00EC7495" w:rsidP="00317572">
      <w:pPr>
        <w:pStyle w:val="BulletHymans"/>
        <w:numPr>
          <w:ilvl w:val="0"/>
          <w:numId w:val="42"/>
        </w:numPr>
        <w:ind w:left="567" w:hanging="567"/>
        <w:rPr>
          <w:sz w:val="24"/>
          <w:szCs w:val="24"/>
        </w:rPr>
      </w:pPr>
      <w:r w:rsidRPr="00416A92">
        <w:rPr>
          <w:sz w:val="24"/>
          <w:szCs w:val="24"/>
        </w:rPr>
        <w:t>allowance for the possible non-payment of employer and member contributions to the Fund;</w:t>
      </w:r>
      <w:r w:rsidR="00450498" w:rsidRPr="00416A92">
        <w:rPr>
          <w:sz w:val="24"/>
          <w:szCs w:val="24"/>
        </w:rPr>
        <w:t xml:space="preserve"> and/or</w:t>
      </w:r>
    </w:p>
    <w:p w14:paraId="09BDDD54" w14:textId="121B97C7" w:rsidR="00FC6D62" w:rsidRPr="00416A92" w:rsidRDefault="00EC7495" w:rsidP="0052118E">
      <w:pPr>
        <w:pStyle w:val="BulletHymans"/>
        <w:numPr>
          <w:ilvl w:val="0"/>
          <w:numId w:val="42"/>
        </w:numPr>
        <w:ind w:left="567" w:hanging="567"/>
        <w:rPr>
          <w:sz w:val="24"/>
          <w:szCs w:val="24"/>
        </w:rPr>
      </w:pPr>
      <w:r w:rsidRPr="00416A92">
        <w:rPr>
          <w:sz w:val="24"/>
          <w:szCs w:val="24"/>
        </w:rPr>
        <w:t>the current deficit.</w:t>
      </w:r>
    </w:p>
    <w:p w14:paraId="7B37B260" w14:textId="3BBB092B" w:rsidR="00EC7495" w:rsidRPr="00416A92" w:rsidRDefault="00A31948" w:rsidP="00EC7495">
      <w:pPr>
        <w:pStyle w:val="BodyTextGrey"/>
        <w:rPr>
          <w:sz w:val="24"/>
          <w:szCs w:val="24"/>
        </w:rPr>
      </w:pPr>
      <w:r w:rsidRPr="00416A92">
        <w:rPr>
          <w:sz w:val="24"/>
          <w:szCs w:val="24"/>
        </w:rPr>
        <w:t xml:space="preserve">Transferee Admission Bodies: </w:t>
      </w:r>
      <w:r w:rsidR="00EC7495" w:rsidRPr="00416A92">
        <w:rPr>
          <w:sz w:val="24"/>
          <w:szCs w:val="24"/>
        </w:rPr>
        <w:t xml:space="preserve">For all </w:t>
      </w:r>
      <w:r w:rsidRPr="00416A92">
        <w:rPr>
          <w:sz w:val="24"/>
          <w:szCs w:val="24"/>
        </w:rPr>
        <w:t>TABs</w:t>
      </w:r>
      <w:r w:rsidR="00EC7495" w:rsidRPr="00416A92">
        <w:rPr>
          <w:sz w:val="24"/>
          <w:szCs w:val="24"/>
        </w:rPr>
        <w:t>, the security must be to the satisfaction of the Administering Authority as well as the letting employer, and will be reassessed on an annual basis.</w:t>
      </w:r>
      <w:r w:rsidRPr="00416A92">
        <w:rPr>
          <w:sz w:val="24"/>
          <w:szCs w:val="24"/>
        </w:rPr>
        <w:t xml:space="preserve"> See also </w:t>
      </w:r>
      <w:hyperlink w:anchor="Notei" w:history="1">
        <w:r w:rsidRPr="00416A92">
          <w:rPr>
            <w:rStyle w:val="Hyperlink"/>
            <w:sz w:val="24"/>
            <w:szCs w:val="24"/>
          </w:rPr>
          <w:t>Note (</w:t>
        </w:r>
        <w:proofErr w:type="spellStart"/>
        <w:r w:rsidRPr="00416A92">
          <w:rPr>
            <w:rStyle w:val="Hyperlink"/>
            <w:sz w:val="24"/>
            <w:szCs w:val="24"/>
          </w:rPr>
          <w:t>i</w:t>
        </w:r>
        <w:proofErr w:type="spellEnd"/>
        <w:r w:rsidRPr="00416A92">
          <w:rPr>
            <w:rStyle w:val="Hyperlink"/>
            <w:sz w:val="24"/>
            <w:szCs w:val="24"/>
          </w:rPr>
          <w:t>)</w:t>
        </w:r>
      </w:hyperlink>
      <w:r w:rsidRPr="00416A92">
        <w:rPr>
          <w:sz w:val="24"/>
          <w:szCs w:val="24"/>
        </w:rPr>
        <w:t xml:space="preserve"> below.</w:t>
      </w:r>
    </w:p>
    <w:p w14:paraId="22C2FCBF" w14:textId="39E8E4D6" w:rsidR="00EC7495" w:rsidRPr="00416A92" w:rsidRDefault="00A31948" w:rsidP="00EC7495">
      <w:pPr>
        <w:pStyle w:val="BodyTextGrey"/>
        <w:rPr>
          <w:sz w:val="24"/>
          <w:szCs w:val="24"/>
        </w:rPr>
      </w:pPr>
      <w:r w:rsidRPr="00416A92">
        <w:rPr>
          <w:sz w:val="24"/>
          <w:szCs w:val="24"/>
        </w:rPr>
        <w:t xml:space="preserve">Community Admission Bodies: </w:t>
      </w:r>
      <w:r w:rsidR="00EC7495" w:rsidRPr="00416A92">
        <w:rPr>
          <w:sz w:val="24"/>
          <w:szCs w:val="24"/>
        </w:rPr>
        <w:t xml:space="preserve">The Administering Authority will only consider requests from </w:t>
      </w:r>
      <w:r w:rsidRPr="00416A92">
        <w:rPr>
          <w:sz w:val="24"/>
          <w:szCs w:val="24"/>
        </w:rPr>
        <w:t>CABs</w:t>
      </w:r>
      <w:r w:rsidR="00450498" w:rsidRPr="00416A92">
        <w:rPr>
          <w:sz w:val="24"/>
          <w:szCs w:val="24"/>
        </w:rPr>
        <w:t xml:space="preserve"> </w:t>
      </w:r>
      <w:r w:rsidR="00EC7495" w:rsidRPr="00416A92">
        <w:rPr>
          <w:sz w:val="24"/>
          <w:szCs w:val="24"/>
        </w:rPr>
        <w:t xml:space="preserve">(or other similar bodies, such as section 75 NHS partnerships) to join the Fund if they are sponsored by a Scheduled Body with tax raising powers, guaranteeing their liabilities and also providing a form of security as above. </w:t>
      </w:r>
    </w:p>
    <w:p w14:paraId="2D66E635" w14:textId="3C3BC45F" w:rsidR="00EC7495" w:rsidRPr="00416A92" w:rsidRDefault="00EC7495" w:rsidP="00EC7495">
      <w:pPr>
        <w:pStyle w:val="BodyTextGrey"/>
        <w:rPr>
          <w:sz w:val="24"/>
          <w:szCs w:val="24"/>
        </w:rPr>
      </w:pPr>
      <w:r w:rsidRPr="00416A92">
        <w:rPr>
          <w:sz w:val="24"/>
          <w:szCs w:val="24"/>
        </w:rPr>
        <w:t>The above approaches reduce the risk</w:t>
      </w:r>
      <w:r w:rsidR="00450498" w:rsidRPr="00416A92">
        <w:rPr>
          <w:sz w:val="24"/>
          <w:szCs w:val="24"/>
        </w:rPr>
        <w:t>,</w:t>
      </w:r>
      <w:r w:rsidRPr="00416A92">
        <w:rPr>
          <w:sz w:val="24"/>
          <w:szCs w:val="24"/>
        </w:rPr>
        <w:t xml:space="preserve"> to other employers in the Fund, of potentially having to pick up any shortfall in respect of Admission Bodies ceasing with an unpaid deficit.</w:t>
      </w:r>
    </w:p>
    <w:p w14:paraId="5F9A4948" w14:textId="77777777" w:rsidR="00EC7495" w:rsidRPr="00416A92" w:rsidRDefault="00EC7495" w:rsidP="00EC7495">
      <w:pPr>
        <w:pStyle w:val="BodyTextGrey"/>
        <w:rPr>
          <w:sz w:val="24"/>
          <w:szCs w:val="24"/>
        </w:rPr>
      </w:pPr>
      <w:bookmarkStart w:id="25" w:name="Notei"/>
      <w:r w:rsidRPr="00416A92">
        <w:rPr>
          <w:rStyle w:val="Heading3Char"/>
          <w:sz w:val="24"/>
          <w:szCs w:val="24"/>
        </w:rPr>
        <w:t>Note (</w:t>
      </w:r>
      <w:proofErr w:type="spellStart"/>
      <w:r w:rsidRPr="00416A92">
        <w:rPr>
          <w:rStyle w:val="Heading3Char"/>
          <w:sz w:val="24"/>
          <w:szCs w:val="24"/>
        </w:rPr>
        <w:t>i</w:t>
      </w:r>
      <w:proofErr w:type="spellEnd"/>
      <w:r w:rsidRPr="00416A92">
        <w:rPr>
          <w:rStyle w:val="Heading3Char"/>
          <w:sz w:val="24"/>
          <w:szCs w:val="24"/>
        </w:rPr>
        <w:t>)</w:t>
      </w:r>
      <w:bookmarkEnd w:id="25"/>
      <w:r w:rsidRPr="00416A92">
        <w:rPr>
          <w:sz w:val="24"/>
          <w:szCs w:val="24"/>
        </w:rPr>
        <w:t xml:space="preserve"> </w:t>
      </w:r>
      <w:r w:rsidRPr="00416A92">
        <w:rPr>
          <w:rStyle w:val="Heading3Char"/>
          <w:sz w:val="24"/>
          <w:szCs w:val="24"/>
        </w:rPr>
        <w:t>(New Transferee Admission Bodies)</w:t>
      </w:r>
    </w:p>
    <w:p w14:paraId="3CFA3AAE" w14:textId="77777777" w:rsidR="00D463AA" w:rsidRPr="00416A92" w:rsidRDefault="00D463AA" w:rsidP="00D463AA">
      <w:pPr>
        <w:pStyle w:val="BodyTextGrey"/>
        <w:rPr>
          <w:sz w:val="24"/>
          <w:szCs w:val="24"/>
        </w:rPr>
      </w:pPr>
      <w:r w:rsidRPr="00416A92">
        <w:rPr>
          <w:sz w:val="24"/>
          <w:szCs w:val="24"/>
        </w:rPr>
        <w:t xml:space="preserve">A new TAB usually joins the Fund as a result of the letting/outsourcing of some services from an existing employer (normally a Scheduled Body such as a council or academy) to another organisation (a “contractor”).  This involves the TUPE transfer of some staff from the letting employer to the contractor.  Consequently, for the duration of the contract, the contractor is a new participating employer in the Fund so that the transferring employees maintain their </w:t>
      </w:r>
      <w:r w:rsidR="00F83F3E" w:rsidRPr="00416A92">
        <w:rPr>
          <w:sz w:val="24"/>
          <w:szCs w:val="24"/>
        </w:rPr>
        <w:t xml:space="preserve">eligibility for </w:t>
      </w:r>
      <w:r w:rsidRPr="00416A92">
        <w:rPr>
          <w:sz w:val="24"/>
          <w:szCs w:val="24"/>
        </w:rPr>
        <w:t>LGPS membership.  At the end of the contract the employees revert to the letting employer or to a replacement contractor.</w:t>
      </w:r>
    </w:p>
    <w:p w14:paraId="66A9F1C9" w14:textId="77777777" w:rsidR="00D463AA" w:rsidRPr="00416A92" w:rsidRDefault="00D463AA" w:rsidP="00D463AA">
      <w:pPr>
        <w:pStyle w:val="BodyTextGrey"/>
        <w:rPr>
          <w:sz w:val="24"/>
          <w:szCs w:val="24"/>
        </w:rPr>
      </w:pPr>
      <w:r w:rsidRPr="00416A92">
        <w:rPr>
          <w:sz w:val="24"/>
          <w:szCs w:val="24"/>
        </w:rPr>
        <w:t xml:space="preserve">Ordinarily, the TAB would be set up in the Fund as a new employer with responsibility for all the accrued benefits of the transferring employees; in this case, the contractor would usually be assigned an initial asset allocation equal to the past service liability value of the employees’ Fund benefits.  The quid pro quo is that the contractor is then expected to ensure that its share of the Fund is also fully funded at the end of the contract: see </w:t>
      </w:r>
      <w:hyperlink w:anchor="Notej" w:history="1">
        <w:r w:rsidRPr="00416A92">
          <w:rPr>
            <w:rStyle w:val="Hyperlink"/>
            <w:sz w:val="24"/>
            <w:szCs w:val="24"/>
          </w:rPr>
          <w:t>Note (j)</w:t>
        </w:r>
      </w:hyperlink>
      <w:r w:rsidRPr="00416A92">
        <w:rPr>
          <w:sz w:val="24"/>
          <w:szCs w:val="24"/>
        </w:rPr>
        <w:t>.</w:t>
      </w:r>
    </w:p>
    <w:p w14:paraId="20AD9E4A" w14:textId="77777777" w:rsidR="00EC7495" w:rsidRPr="00416A92" w:rsidRDefault="00EC7495" w:rsidP="00EC7495">
      <w:pPr>
        <w:pStyle w:val="BodyTextGrey"/>
        <w:rPr>
          <w:sz w:val="24"/>
          <w:szCs w:val="24"/>
        </w:rPr>
      </w:pPr>
      <w:r w:rsidRPr="00416A92">
        <w:rPr>
          <w:sz w:val="24"/>
          <w:szCs w:val="24"/>
        </w:rPr>
        <w:t>Employers which “outsource” have flexibility in the way that they can deal with the pension risk potentially taken on by the contractor.  In particular there are three different routes that such employers may wish to adopt.  Clearly as the risk ultimately resides with the employer letting the contract, it is for them to agree the appropriate route with the contractor:</w:t>
      </w:r>
    </w:p>
    <w:p w14:paraId="3F9E306F" w14:textId="77777777" w:rsidR="00EC7495" w:rsidRPr="00416A92" w:rsidRDefault="00EC7495" w:rsidP="00EC7495">
      <w:pPr>
        <w:pStyle w:val="BodyTextGrey"/>
        <w:rPr>
          <w:sz w:val="24"/>
          <w:szCs w:val="24"/>
        </w:rPr>
      </w:pPr>
      <w:proofErr w:type="spellStart"/>
      <w:r w:rsidRPr="00416A92">
        <w:rPr>
          <w:sz w:val="24"/>
          <w:szCs w:val="24"/>
        </w:rPr>
        <w:t>i</w:t>
      </w:r>
      <w:proofErr w:type="spellEnd"/>
      <w:r w:rsidRPr="00416A92">
        <w:rPr>
          <w:sz w:val="24"/>
          <w:szCs w:val="24"/>
        </w:rPr>
        <w:t>)</w:t>
      </w:r>
      <w:r w:rsidRPr="00416A92">
        <w:rPr>
          <w:sz w:val="24"/>
          <w:szCs w:val="24"/>
        </w:rPr>
        <w:tab/>
      </w:r>
      <w:r w:rsidRPr="00416A92">
        <w:rPr>
          <w:sz w:val="24"/>
          <w:szCs w:val="24"/>
          <w:u w:val="single"/>
        </w:rPr>
        <w:t>Pooling</w:t>
      </w:r>
    </w:p>
    <w:p w14:paraId="32B4EAF7" w14:textId="27E1DBAF" w:rsidR="00EC7495" w:rsidRPr="00416A92" w:rsidRDefault="00EC7495" w:rsidP="00A31948">
      <w:pPr>
        <w:pStyle w:val="BodyTextGrey"/>
        <w:ind w:left="709"/>
        <w:rPr>
          <w:sz w:val="24"/>
          <w:szCs w:val="24"/>
        </w:rPr>
      </w:pPr>
      <w:r w:rsidRPr="00416A92">
        <w:rPr>
          <w:sz w:val="24"/>
          <w:szCs w:val="24"/>
        </w:rPr>
        <w:t xml:space="preserve">Under this option the contractor is pooled with the letting employer.  In this case, the contractor pays the same rate as the letting employer, which may be under </w:t>
      </w:r>
      <w:r w:rsidR="00450498" w:rsidRPr="00416A92">
        <w:rPr>
          <w:sz w:val="24"/>
          <w:szCs w:val="24"/>
        </w:rPr>
        <w:t xml:space="preserve">a </w:t>
      </w:r>
      <w:r w:rsidRPr="00416A92">
        <w:rPr>
          <w:sz w:val="24"/>
          <w:szCs w:val="24"/>
        </w:rPr>
        <w:t>stabilisation approach.</w:t>
      </w:r>
    </w:p>
    <w:p w14:paraId="61A6DAFF" w14:textId="77777777" w:rsidR="00EC7495" w:rsidRPr="00416A92" w:rsidRDefault="00EC7495" w:rsidP="00EC7495">
      <w:pPr>
        <w:pStyle w:val="BodyTextGrey"/>
        <w:rPr>
          <w:sz w:val="24"/>
          <w:szCs w:val="24"/>
        </w:rPr>
      </w:pPr>
      <w:r w:rsidRPr="00416A92">
        <w:rPr>
          <w:sz w:val="24"/>
          <w:szCs w:val="24"/>
        </w:rPr>
        <w:t>ii)</w:t>
      </w:r>
      <w:r w:rsidRPr="00416A92">
        <w:rPr>
          <w:sz w:val="24"/>
          <w:szCs w:val="24"/>
        </w:rPr>
        <w:tab/>
      </w:r>
      <w:r w:rsidRPr="00416A92">
        <w:rPr>
          <w:sz w:val="24"/>
          <w:szCs w:val="24"/>
          <w:u w:val="single"/>
        </w:rPr>
        <w:t>Letting employer retains pre-contract risks</w:t>
      </w:r>
    </w:p>
    <w:p w14:paraId="592C5D99" w14:textId="572ABA5F" w:rsidR="00EC7495" w:rsidRPr="00416A92" w:rsidRDefault="00EC7495" w:rsidP="00A31948">
      <w:pPr>
        <w:pStyle w:val="BodyTextGrey"/>
        <w:ind w:left="709"/>
        <w:rPr>
          <w:sz w:val="24"/>
          <w:szCs w:val="24"/>
        </w:rPr>
      </w:pPr>
      <w:r w:rsidRPr="00416A92">
        <w:rPr>
          <w:sz w:val="24"/>
          <w:szCs w:val="24"/>
        </w:rPr>
        <w:t xml:space="preserve">Under this option the letting employer would retain responsibility for assets and liabilities in respect of service accrued prior to the contract commencement date.  The contractor would be responsible for the future liabilities that accrue in respect of transferred staff.  The contractor’s contribution rate could vary from one valuation to </w:t>
      </w:r>
      <w:r w:rsidRPr="00416A92">
        <w:rPr>
          <w:sz w:val="24"/>
          <w:szCs w:val="24"/>
        </w:rPr>
        <w:lastRenderedPageBreak/>
        <w:t xml:space="preserve">the next. It would be liable for any deficit </w:t>
      </w:r>
      <w:r w:rsidR="009B19D1" w:rsidRPr="00416A92">
        <w:rPr>
          <w:sz w:val="24"/>
          <w:szCs w:val="24"/>
        </w:rPr>
        <w:t xml:space="preserve">(or entitled to any surplus) </w:t>
      </w:r>
      <w:r w:rsidRPr="00416A92">
        <w:rPr>
          <w:sz w:val="24"/>
          <w:szCs w:val="24"/>
        </w:rPr>
        <w:t xml:space="preserve">at the end of the contract </w:t>
      </w:r>
      <w:r w:rsidRPr="00054A7E">
        <w:rPr>
          <w:sz w:val="24"/>
          <w:szCs w:val="24"/>
        </w:rPr>
        <w:t>term in respect of assets and liabilities attributable to service accrued during the contract term.</w:t>
      </w:r>
      <w:r w:rsidR="0010073D" w:rsidRPr="00054A7E">
        <w:rPr>
          <w:sz w:val="24"/>
          <w:szCs w:val="24"/>
        </w:rPr>
        <w:t xml:space="preserve"> Please note, the level of exit credit (if any) payable on cessation would be determined by the Administering Authority in accordance with the Regulations and this FSS.</w:t>
      </w:r>
    </w:p>
    <w:p w14:paraId="160FA52E" w14:textId="75808F8E" w:rsidR="00EC7495" w:rsidRPr="00416A92" w:rsidRDefault="00EC7495" w:rsidP="00EC7495">
      <w:pPr>
        <w:pStyle w:val="BodyTextGrey"/>
        <w:rPr>
          <w:sz w:val="24"/>
          <w:szCs w:val="24"/>
        </w:rPr>
      </w:pPr>
      <w:r w:rsidRPr="00416A92">
        <w:rPr>
          <w:sz w:val="24"/>
          <w:szCs w:val="24"/>
        </w:rPr>
        <w:t>iii)</w:t>
      </w:r>
      <w:r w:rsidRPr="00416A92">
        <w:rPr>
          <w:sz w:val="24"/>
          <w:szCs w:val="24"/>
        </w:rPr>
        <w:tab/>
      </w:r>
      <w:r w:rsidRPr="00416A92">
        <w:rPr>
          <w:sz w:val="24"/>
          <w:szCs w:val="24"/>
          <w:u w:val="single"/>
        </w:rPr>
        <w:t>Fixed contribution rate agreed</w:t>
      </w:r>
      <w:r w:rsidR="00317572" w:rsidRPr="00416A92">
        <w:rPr>
          <w:sz w:val="24"/>
          <w:szCs w:val="24"/>
          <w:u w:val="single"/>
        </w:rPr>
        <w:t xml:space="preserve"> (“Pass through”)</w:t>
      </w:r>
    </w:p>
    <w:p w14:paraId="71408D15" w14:textId="17E52F5E" w:rsidR="00EC7495" w:rsidRPr="00416A92" w:rsidRDefault="00EC7495" w:rsidP="00A31948">
      <w:pPr>
        <w:pStyle w:val="BodyTextGrey"/>
        <w:ind w:left="709"/>
        <w:rPr>
          <w:sz w:val="24"/>
          <w:szCs w:val="24"/>
        </w:rPr>
      </w:pPr>
      <w:r w:rsidRPr="00416A92">
        <w:rPr>
          <w:sz w:val="24"/>
          <w:szCs w:val="24"/>
        </w:rPr>
        <w:t xml:space="preserve">Under this option the contractor pays a fixed contribution rate </w:t>
      </w:r>
      <w:r w:rsidR="004A33F1" w:rsidRPr="00416A92">
        <w:rPr>
          <w:sz w:val="24"/>
          <w:szCs w:val="24"/>
        </w:rPr>
        <w:t xml:space="preserve">throughout the participation in the Fund and on cessation does not pay any deficit or receive an exit credit.  </w:t>
      </w:r>
      <w:r w:rsidR="00317572" w:rsidRPr="00416A92">
        <w:rPr>
          <w:sz w:val="24"/>
          <w:szCs w:val="24"/>
        </w:rPr>
        <w:t>In other words, the pension risks “pass through” to the letting employer.</w:t>
      </w:r>
    </w:p>
    <w:p w14:paraId="4CB540D4" w14:textId="77777777" w:rsidR="00EA3280" w:rsidRDefault="004A33F1" w:rsidP="00416A92">
      <w:pPr>
        <w:spacing w:after="20" w:line="240" w:lineRule="auto"/>
        <w:jc w:val="left"/>
        <w:rPr>
          <w:color w:val="455560"/>
          <w:sz w:val="24"/>
          <w:szCs w:val="24"/>
          <w:lang w:eastAsia="en-US"/>
        </w:rPr>
      </w:pPr>
      <w:r w:rsidRPr="00EA3280">
        <w:rPr>
          <w:color w:val="455560"/>
          <w:sz w:val="24"/>
          <w:szCs w:val="24"/>
          <w:lang w:eastAsia="en-US"/>
        </w:rPr>
        <w:t xml:space="preserve">The Administering Authority is willing to administer any of the above options as long as the approach is documented in the Admission Agreement as well as the transfer agreement. </w:t>
      </w:r>
      <w:r w:rsidRPr="00EA3280">
        <w:rPr>
          <w:b/>
          <w:color w:val="455560"/>
          <w:sz w:val="24"/>
          <w:szCs w:val="24"/>
          <w:lang w:eastAsia="en-US"/>
        </w:rPr>
        <w:t xml:space="preserve"> </w:t>
      </w:r>
      <w:r w:rsidRPr="00EA3280">
        <w:rPr>
          <w:color w:val="455560"/>
          <w:sz w:val="24"/>
          <w:szCs w:val="24"/>
          <w:lang w:eastAsia="en-US"/>
        </w:rPr>
        <w:t>Alternatively, letting employers and Transferee Admission Bodies may operate any of the above options by entering into a separate Side Agreement. The Administering Authority would not necessarily be a party to this side agreement, but may treat the Admission Agreement as if it incorporates the side agreement terms where this is permitted by legislation or alternatively agreed by all parties.</w:t>
      </w:r>
    </w:p>
    <w:p w14:paraId="1F6B97D8" w14:textId="6DD2D7FF" w:rsidR="004A33F1" w:rsidRPr="00EA3280" w:rsidRDefault="004A33F1" w:rsidP="00416A92">
      <w:pPr>
        <w:spacing w:after="20" w:line="240" w:lineRule="auto"/>
        <w:jc w:val="left"/>
        <w:rPr>
          <w:color w:val="455560"/>
          <w:sz w:val="24"/>
          <w:szCs w:val="24"/>
          <w:lang w:eastAsia="en-US"/>
        </w:rPr>
      </w:pPr>
      <w:r w:rsidRPr="00EA3280">
        <w:rPr>
          <w:b/>
          <w:color w:val="455560"/>
          <w:sz w:val="24"/>
          <w:szCs w:val="24"/>
          <w:lang w:eastAsia="en-US"/>
        </w:rPr>
        <w:t xml:space="preserve">  </w:t>
      </w:r>
    </w:p>
    <w:p w14:paraId="54714162" w14:textId="60F5715B" w:rsidR="00EC7495" w:rsidRPr="00416A92" w:rsidRDefault="004A33F1" w:rsidP="00416A92">
      <w:pPr>
        <w:spacing w:after="200"/>
        <w:jc w:val="left"/>
        <w:rPr>
          <w:color w:val="auto"/>
          <w:sz w:val="24"/>
          <w:szCs w:val="24"/>
        </w:rPr>
      </w:pPr>
      <w:r w:rsidRPr="00416A92">
        <w:rPr>
          <w:color w:val="auto"/>
          <w:sz w:val="24"/>
          <w:szCs w:val="24"/>
        </w:rPr>
        <w:t xml:space="preserve">Any risk sharing agreement </w:t>
      </w:r>
      <w:r w:rsidR="00EC7495" w:rsidRPr="00416A92">
        <w:rPr>
          <w:color w:val="auto"/>
          <w:sz w:val="24"/>
          <w:szCs w:val="24"/>
        </w:rPr>
        <w:t>should ensure that some element of risk transfers to the contractor where it relates to their decisions and it is unfair to burden the letting employer with that risk.  For example the contractor should typically be responsible for pension costs that arise from</w:t>
      </w:r>
      <w:r w:rsidR="00450498" w:rsidRPr="00416A92">
        <w:rPr>
          <w:color w:val="auto"/>
          <w:sz w:val="24"/>
          <w:szCs w:val="24"/>
        </w:rPr>
        <w:t>:</w:t>
      </w:r>
    </w:p>
    <w:p w14:paraId="17E63607" w14:textId="340DFD53" w:rsidR="00EC7495" w:rsidRPr="00416A92" w:rsidRDefault="00EC7495" w:rsidP="00813305">
      <w:pPr>
        <w:pStyle w:val="BulletHymans"/>
        <w:numPr>
          <w:ilvl w:val="0"/>
          <w:numId w:val="43"/>
        </w:numPr>
        <w:ind w:left="567" w:hanging="567"/>
        <w:rPr>
          <w:sz w:val="24"/>
          <w:szCs w:val="24"/>
        </w:rPr>
      </w:pPr>
      <w:r w:rsidRPr="00416A92">
        <w:rPr>
          <w:sz w:val="24"/>
          <w:szCs w:val="24"/>
        </w:rPr>
        <w:t>above average pay increases, including the effect in respect of service prior to contract commencement even if the letting employer takes on responsibility for the latter under (ii) above;</w:t>
      </w:r>
      <w:r w:rsidR="00283E56" w:rsidRPr="00416A92">
        <w:rPr>
          <w:sz w:val="24"/>
          <w:szCs w:val="24"/>
        </w:rPr>
        <w:t xml:space="preserve"> and</w:t>
      </w:r>
      <w:r w:rsidRPr="00416A92">
        <w:rPr>
          <w:sz w:val="24"/>
          <w:szCs w:val="24"/>
        </w:rPr>
        <w:t xml:space="preserve">  </w:t>
      </w:r>
    </w:p>
    <w:p w14:paraId="75B373D2" w14:textId="77777777" w:rsidR="00EC7495" w:rsidRPr="00416A92" w:rsidRDefault="00EC7495" w:rsidP="00813305">
      <w:pPr>
        <w:pStyle w:val="BulletHymans"/>
        <w:numPr>
          <w:ilvl w:val="0"/>
          <w:numId w:val="43"/>
        </w:numPr>
        <w:ind w:left="567" w:hanging="567"/>
        <w:rPr>
          <w:sz w:val="24"/>
          <w:szCs w:val="24"/>
        </w:rPr>
      </w:pPr>
      <w:r w:rsidRPr="00416A92">
        <w:rPr>
          <w:sz w:val="24"/>
          <w:szCs w:val="24"/>
        </w:rPr>
        <w:t>redundancy and early retirement decisions.</w:t>
      </w:r>
    </w:p>
    <w:p w14:paraId="006F31DC" w14:textId="6B1DF471" w:rsidR="00EC7495" w:rsidRPr="00416A92" w:rsidRDefault="00EC7495" w:rsidP="00EC7495">
      <w:pPr>
        <w:pStyle w:val="BodyTextGrey"/>
        <w:rPr>
          <w:sz w:val="24"/>
          <w:szCs w:val="24"/>
        </w:rPr>
      </w:pPr>
      <w:bookmarkStart w:id="26" w:name="Notej"/>
      <w:r w:rsidRPr="00416A92">
        <w:rPr>
          <w:rStyle w:val="Heading3Char"/>
          <w:sz w:val="24"/>
          <w:szCs w:val="24"/>
        </w:rPr>
        <w:t>Note (j)</w:t>
      </w:r>
      <w:r w:rsidRPr="00416A92">
        <w:rPr>
          <w:sz w:val="24"/>
          <w:szCs w:val="24"/>
        </w:rPr>
        <w:t xml:space="preserve"> </w:t>
      </w:r>
      <w:r w:rsidRPr="00416A92">
        <w:rPr>
          <w:rStyle w:val="Heading3Char"/>
          <w:sz w:val="24"/>
          <w:szCs w:val="24"/>
        </w:rPr>
        <w:t xml:space="preserve">(Admission Bodies </w:t>
      </w:r>
      <w:r w:rsidR="007E1630">
        <w:rPr>
          <w:rStyle w:val="Heading3Char"/>
          <w:sz w:val="24"/>
          <w:szCs w:val="24"/>
        </w:rPr>
        <w:t>exiting the Fund</w:t>
      </w:r>
      <w:r w:rsidRPr="00416A92">
        <w:rPr>
          <w:rStyle w:val="Heading3Char"/>
          <w:sz w:val="24"/>
          <w:szCs w:val="24"/>
        </w:rPr>
        <w:t>)</w:t>
      </w:r>
    </w:p>
    <w:bookmarkEnd w:id="26"/>
    <w:p w14:paraId="44D86E0F" w14:textId="77777777" w:rsidR="00EC7495" w:rsidRPr="00416A92" w:rsidRDefault="00EC7495" w:rsidP="00EC7495">
      <w:pPr>
        <w:pStyle w:val="BodyTextGrey"/>
        <w:rPr>
          <w:sz w:val="24"/>
          <w:szCs w:val="24"/>
        </w:rPr>
      </w:pPr>
      <w:r w:rsidRPr="00416A92">
        <w:rPr>
          <w:sz w:val="24"/>
          <w:szCs w:val="24"/>
        </w:rPr>
        <w:t xml:space="preserve">Notwithstanding the provisions of the Admission Agreement, the Administering Authority </w:t>
      </w:r>
      <w:r w:rsidR="000F2984" w:rsidRPr="00416A92">
        <w:rPr>
          <w:sz w:val="24"/>
          <w:szCs w:val="24"/>
        </w:rPr>
        <w:t xml:space="preserve">may </w:t>
      </w:r>
      <w:r w:rsidRPr="00416A92">
        <w:rPr>
          <w:sz w:val="24"/>
          <w:szCs w:val="24"/>
        </w:rPr>
        <w:t>consider any of the following as triggers for the cessation of an admission agreement with any type of body:</w:t>
      </w:r>
    </w:p>
    <w:p w14:paraId="3E030493" w14:textId="77777777" w:rsidR="00EC7495" w:rsidRPr="00416A92" w:rsidRDefault="00EC7495" w:rsidP="00813305">
      <w:pPr>
        <w:pStyle w:val="BodyTextGrey"/>
        <w:numPr>
          <w:ilvl w:val="0"/>
          <w:numId w:val="44"/>
        </w:numPr>
        <w:ind w:left="567" w:hanging="567"/>
        <w:rPr>
          <w:sz w:val="24"/>
          <w:szCs w:val="24"/>
        </w:rPr>
      </w:pPr>
      <w:r w:rsidRPr="00416A92">
        <w:rPr>
          <w:sz w:val="24"/>
          <w:szCs w:val="24"/>
        </w:rPr>
        <w:t>Last active member ceasing participation in the Fund</w:t>
      </w:r>
      <w:r w:rsidR="00A31948" w:rsidRPr="00416A92">
        <w:rPr>
          <w:sz w:val="24"/>
          <w:szCs w:val="24"/>
        </w:rPr>
        <w:t xml:space="preserve"> (NB recent LGPS Regulation changes mean that the Administering Authority has the discretion to defer taking action for up to three years, so that if the employer acquires one or more active Fund members during that period then cessation is not triggered. The current Fund policy is that this is left as a discretion and may or may not be applied in any given case)</w:t>
      </w:r>
      <w:r w:rsidRPr="00416A92">
        <w:rPr>
          <w:sz w:val="24"/>
          <w:szCs w:val="24"/>
        </w:rPr>
        <w:t>;</w:t>
      </w:r>
    </w:p>
    <w:p w14:paraId="14D35984" w14:textId="77777777" w:rsidR="00EC7495" w:rsidRPr="00416A92" w:rsidRDefault="00EC7495" w:rsidP="00813305">
      <w:pPr>
        <w:pStyle w:val="BulletHymans"/>
        <w:numPr>
          <w:ilvl w:val="0"/>
          <w:numId w:val="44"/>
        </w:numPr>
        <w:ind w:left="567" w:hanging="567"/>
        <w:rPr>
          <w:sz w:val="24"/>
          <w:szCs w:val="24"/>
        </w:rPr>
      </w:pPr>
      <w:r w:rsidRPr="00416A92">
        <w:rPr>
          <w:sz w:val="24"/>
          <w:szCs w:val="24"/>
        </w:rPr>
        <w:t>The insolvency, winding up or liquidation of the Admission Body;</w:t>
      </w:r>
    </w:p>
    <w:p w14:paraId="0B1DD5D4" w14:textId="77777777" w:rsidR="00EC7495" w:rsidRPr="00416A92" w:rsidRDefault="00EC7495" w:rsidP="00813305">
      <w:pPr>
        <w:pStyle w:val="BulletHymans"/>
        <w:numPr>
          <w:ilvl w:val="0"/>
          <w:numId w:val="44"/>
        </w:numPr>
        <w:ind w:left="567" w:hanging="567"/>
        <w:rPr>
          <w:sz w:val="24"/>
          <w:szCs w:val="24"/>
        </w:rPr>
      </w:pPr>
      <w:r w:rsidRPr="00416A92">
        <w:rPr>
          <w:sz w:val="24"/>
          <w:szCs w:val="24"/>
        </w:rPr>
        <w:t>Any breach by the Admission Body of any of its obligations under the Agreement that they have failed to remedy to the satisfaction of the Fund;</w:t>
      </w:r>
    </w:p>
    <w:p w14:paraId="12A0D453" w14:textId="37F7F8BB" w:rsidR="00EC7495" w:rsidRPr="00416A92" w:rsidRDefault="00EC7495" w:rsidP="00813305">
      <w:pPr>
        <w:pStyle w:val="BulletHymans"/>
        <w:numPr>
          <w:ilvl w:val="0"/>
          <w:numId w:val="44"/>
        </w:numPr>
        <w:ind w:left="567" w:hanging="567"/>
        <w:rPr>
          <w:sz w:val="24"/>
          <w:szCs w:val="24"/>
        </w:rPr>
      </w:pPr>
      <w:r w:rsidRPr="00416A92">
        <w:rPr>
          <w:sz w:val="24"/>
          <w:szCs w:val="24"/>
        </w:rPr>
        <w:t>A failure by the Admission Body to pay any sums due to the Fund within the period required by the Fund;</w:t>
      </w:r>
    </w:p>
    <w:p w14:paraId="1D9841A8" w14:textId="77777777" w:rsidR="00BA2C76" w:rsidRDefault="00EC7495" w:rsidP="00813305">
      <w:pPr>
        <w:pStyle w:val="BulletHymans"/>
        <w:numPr>
          <w:ilvl w:val="0"/>
          <w:numId w:val="44"/>
        </w:numPr>
        <w:ind w:left="567" w:hanging="567"/>
        <w:rPr>
          <w:sz w:val="24"/>
          <w:szCs w:val="24"/>
        </w:rPr>
      </w:pPr>
      <w:r w:rsidRPr="00416A92">
        <w:rPr>
          <w:sz w:val="24"/>
          <w:szCs w:val="24"/>
        </w:rPr>
        <w:t>The failure by the Admission Body to renew or adjust the level of the bond or indemnity, or to confirm an appropriate alternative guarantor, as required by the Fund</w:t>
      </w:r>
      <w:r w:rsidR="00BA2C76">
        <w:rPr>
          <w:sz w:val="24"/>
          <w:szCs w:val="24"/>
        </w:rPr>
        <w:t>; or</w:t>
      </w:r>
    </w:p>
    <w:p w14:paraId="3EFE315F" w14:textId="38B393BC" w:rsidR="00EC7495" w:rsidRPr="00054A7E" w:rsidRDefault="000656D9" w:rsidP="00813305">
      <w:pPr>
        <w:pStyle w:val="BulletHymans"/>
        <w:numPr>
          <w:ilvl w:val="0"/>
          <w:numId w:val="44"/>
        </w:numPr>
        <w:ind w:left="567" w:hanging="567"/>
        <w:rPr>
          <w:sz w:val="24"/>
          <w:szCs w:val="24"/>
        </w:rPr>
      </w:pPr>
      <w:r w:rsidRPr="00054A7E">
        <w:rPr>
          <w:sz w:val="24"/>
          <w:szCs w:val="24"/>
        </w:rPr>
        <w:lastRenderedPageBreak/>
        <w:t>On termination of a Deferred Debt Agreement (see below)</w:t>
      </w:r>
      <w:r w:rsidR="00EC7495" w:rsidRPr="00054A7E">
        <w:rPr>
          <w:sz w:val="24"/>
          <w:szCs w:val="24"/>
        </w:rPr>
        <w:t>.</w:t>
      </w:r>
    </w:p>
    <w:p w14:paraId="66A8A226" w14:textId="77777777" w:rsidR="00FE0B2C" w:rsidRPr="00054A7E" w:rsidRDefault="00FE0B2C" w:rsidP="002F7970">
      <w:pPr>
        <w:pStyle w:val="BodyText"/>
        <w:spacing w:before="154" w:line="290" w:lineRule="auto"/>
        <w:ind w:right="230"/>
        <w:jc w:val="left"/>
        <w:rPr>
          <w:iCs w:val="0"/>
          <w:color w:val="45545F"/>
          <w:sz w:val="24"/>
          <w:szCs w:val="24"/>
        </w:rPr>
      </w:pPr>
      <w:r w:rsidRPr="00054A7E">
        <w:rPr>
          <w:color w:val="45545F"/>
          <w:sz w:val="24"/>
          <w:szCs w:val="24"/>
        </w:rPr>
        <w:t>On cessation, in the absence of a deferred debt arrangement, the Administering Authority will instruct the Fund actuary to carry out a cessation valuation to determine whether there is any deficit or surplus.</w:t>
      </w:r>
    </w:p>
    <w:p w14:paraId="6E616C4F" w14:textId="77777777" w:rsidR="00FE0B2C" w:rsidRPr="00054A7E" w:rsidRDefault="00FE0B2C" w:rsidP="002F7970">
      <w:pPr>
        <w:pStyle w:val="BodyText"/>
        <w:spacing w:before="154" w:line="290" w:lineRule="auto"/>
        <w:ind w:right="230"/>
        <w:jc w:val="left"/>
        <w:rPr>
          <w:color w:val="45545F"/>
          <w:sz w:val="24"/>
          <w:szCs w:val="24"/>
          <w:u w:val="single"/>
        </w:rPr>
      </w:pPr>
      <w:r w:rsidRPr="00054A7E">
        <w:rPr>
          <w:color w:val="45545F"/>
          <w:sz w:val="24"/>
          <w:szCs w:val="24"/>
          <w:u w:val="single"/>
        </w:rPr>
        <w:t>Payment of cessation debt</w:t>
      </w:r>
    </w:p>
    <w:p w14:paraId="2A85111B" w14:textId="1FBE6B9D" w:rsidR="00FE0B2C" w:rsidRPr="00054A7E" w:rsidRDefault="00FE0B2C" w:rsidP="002F7970">
      <w:pPr>
        <w:pStyle w:val="BodyText"/>
        <w:spacing w:before="154" w:line="290" w:lineRule="auto"/>
        <w:ind w:right="230"/>
        <w:jc w:val="left"/>
        <w:rPr>
          <w:color w:val="45545F"/>
          <w:sz w:val="24"/>
          <w:szCs w:val="24"/>
        </w:rPr>
      </w:pPr>
      <w:r w:rsidRPr="00054A7E">
        <w:rPr>
          <w:color w:val="45545F"/>
          <w:sz w:val="24"/>
          <w:szCs w:val="24"/>
        </w:rPr>
        <w:t>Where there is a deficit, payment of this amount in full would normally be sought from the Admission Body. The Fund’s normal policy is that this cessation debt is paid in a single lump sum within 30 days of the employer being notified.</w:t>
      </w:r>
    </w:p>
    <w:p w14:paraId="4DEDFCC5" w14:textId="3BE2512E" w:rsidR="00FE0B2C" w:rsidRPr="00054A7E" w:rsidRDefault="00FE0B2C" w:rsidP="002F7970">
      <w:pPr>
        <w:pStyle w:val="BodyText"/>
        <w:spacing w:before="154" w:line="290" w:lineRule="auto"/>
        <w:ind w:right="230"/>
        <w:jc w:val="left"/>
        <w:rPr>
          <w:color w:val="45545F"/>
          <w:sz w:val="24"/>
          <w:szCs w:val="24"/>
        </w:rPr>
      </w:pPr>
      <w:r w:rsidRPr="00054A7E">
        <w:rPr>
          <w:color w:val="45545F"/>
          <w:sz w:val="24"/>
          <w:szCs w:val="24"/>
        </w:rPr>
        <w:t>However, in line with the Regulations and when in the best interests of all parties, the Fund may agree for this payment to be spread over an agreed period</w:t>
      </w:r>
      <w:r w:rsidR="006A7A87" w:rsidRPr="00054A7E">
        <w:rPr>
          <w:color w:val="45545F"/>
          <w:sz w:val="24"/>
          <w:szCs w:val="24"/>
        </w:rPr>
        <w:t>.</w:t>
      </w:r>
      <w:r w:rsidRPr="00054A7E">
        <w:rPr>
          <w:color w:val="45545F"/>
          <w:sz w:val="24"/>
          <w:szCs w:val="24"/>
        </w:rPr>
        <w:t xml:space="preserve"> </w:t>
      </w:r>
      <w:r w:rsidR="006A7A87" w:rsidRPr="00054A7E">
        <w:rPr>
          <w:color w:val="45545F"/>
          <w:sz w:val="24"/>
          <w:szCs w:val="24"/>
        </w:rPr>
        <w:t>H</w:t>
      </w:r>
      <w:r w:rsidRPr="00054A7E">
        <w:rPr>
          <w:color w:val="45545F"/>
          <w:sz w:val="24"/>
          <w:szCs w:val="24"/>
        </w:rPr>
        <w:t>owever, such agreement would only be permitted at the Fund’s discretion, where payment of the debt in a single immediate lump sum could be shown to be materially detrimental to the employer’s normal operations.  In cases where payment is spread, the Fund reserves the right to require that the ceasing employer provides some form of security (such as a charge over assets, bond indemnity or guarantee) relating to the unpaid amount of debt at any given time.</w:t>
      </w:r>
    </w:p>
    <w:p w14:paraId="682BDB76" w14:textId="77777777" w:rsidR="004E7CDC" w:rsidRPr="00054A7E" w:rsidRDefault="004E7CDC" w:rsidP="002F7970">
      <w:pPr>
        <w:pStyle w:val="BodyText"/>
        <w:spacing w:before="154" w:line="290" w:lineRule="auto"/>
        <w:ind w:right="230"/>
        <w:jc w:val="left"/>
        <w:rPr>
          <w:color w:val="45545F"/>
          <w:sz w:val="24"/>
          <w:szCs w:val="24"/>
        </w:rPr>
      </w:pPr>
      <w:r w:rsidRPr="00054A7E">
        <w:rPr>
          <w:color w:val="45545F"/>
          <w:sz w:val="24"/>
          <w:szCs w:val="24"/>
        </w:rPr>
        <w:t xml:space="preserve">The length of any spreading period will depend on the employer’s financial circumstances and on the strength of any security provided, and ordinarily would not exceed [five] years. The Fund will confirm the spreading period, annual repayments including any interest, and any other costs (e.g. actuarial or legal) payable by the employer prior to the repayments starting. </w:t>
      </w:r>
    </w:p>
    <w:p w14:paraId="74512601" w14:textId="2948774B" w:rsidR="004E7CDC" w:rsidRPr="00054A7E" w:rsidRDefault="004E7CDC" w:rsidP="002F7970">
      <w:pPr>
        <w:pStyle w:val="BodyText"/>
        <w:spacing w:before="154" w:line="290" w:lineRule="auto"/>
        <w:ind w:right="230"/>
        <w:jc w:val="left"/>
        <w:rPr>
          <w:color w:val="45545F"/>
          <w:sz w:val="24"/>
          <w:szCs w:val="24"/>
        </w:rPr>
      </w:pPr>
      <w:r w:rsidRPr="00054A7E">
        <w:rPr>
          <w:color w:val="45545F"/>
          <w:sz w:val="24"/>
          <w:szCs w:val="24"/>
        </w:rPr>
        <w:t>The Fund will monitor the employer’s circumstances regularly during the spreading period and may request updated financial information that could trigger a review of the arrangement and repayments.</w:t>
      </w:r>
    </w:p>
    <w:p w14:paraId="3E06E1BD" w14:textId="77777777" w:rsidR="00FE0B2C" w:rsidRPr="00054A7E" w:rsidRDefault="00FE0B2C" w:rsidP="002F7970">
      <w:pPr>
        <w:pStyle w:val="BodyText"/>
        <w:spacing w:before="154" w:line="290" w:lineRule="auto"/>
        <w:ind w:right="230"/>
        <w:jc w:val="left"/>
        <w:rPr>
          <w:color w:val="45545F"/>
          <w:sz w:val="24"/>
          <w:szCs w:val="24"/>
          <w:u w:val="single"/>
        </w:rPr>
      </w:pPr>
      <w:r w:rsidRPr="00054A7E">
        <w:rPr>
          <w:color w:val="45545F"/>
          <w:sz w:val="24"/>
          <w:szCs w:val="24"/>
          <w:u w:val="single"/>
        </w:rPr>
        <w:t>Consideration of surplus / exit credit</w:t>
      </w:r>
    </w:p>
    <w:p w14:paraId="290EF723" w14:textId="77777777" w:rsidR="00FE0B2C" w:rsidRPr="00054A7E" w:rsidRDefault="00FE0B2C" w:rsidP="002F7970">
      <w:pPr>
        <w:pStyle w:val="BodyText"/>
        <w:spacing w:before="154" w:line="290" w:lineRule="auto"/>
        <w:ind w:right="230"/>
        <w:jc w:val="left"/>
        <w:rPr>
          <w:color w:val="45545F"/>
          <w:sz w:val="24"/>
          <w:szCs w:val="24"/>
        </w:rPr>
      </w:pPr>
      <w:r w:rsidRPr="00054A7E">
        <w:rPr>
          <w:color w:val="45545F"/>
          <w:sz w:val="24"/>
          <w:szCs w:val="24"/>
        </w:rPr>
        <w:t>Where there is a surplus, the Administering Authority will determine the amount of exit credit to be paid in accordance with the Regulations.  In making this determination, the Administering Authority will consider:</w:t>
      </w:r>
    </w:p>
    <w:p w14:paraId="3E2BCDA3" w14:textId="77777777" w:rsidR="00FE0B2C" w:rsidRPr="00054A7E" w:rsidRDefault="00FE0B2C">
      <w:pPr>
        <w:pStyle w:val="BodyText"/>
        <w:numPr>
          <w:ilvl w:val="5"/>
          <w:numId w:val="55"/>
        </w:numPr>
        <w:spacing w:before="154" w:after="20" w:line="290" w:lineRule="auto"/>
        <w:ind w:left="851" w:right="230"/>
        <w:jc w:val="left"/>
        <w:rPr>
          <w:color w:val="45545F"/>
          <w:sz w:val="24"/>
          <w:szCs w:val="24"/>
        </w:rPr>
      </w:pPr>
      <w:r w:rsidRPr="00054A7E">
        <w:rPr>
          <w:color w:val="45545F"/>
          <w:sz w:val="24"/>
          <w:szCs w:val="24"/>
        </w:rPr>
        <w:t xml:space="preserve">the extent of any surplus, </w:t>
      </w:r>
    </w:p>
    <w:p w14:paraId="317CAA7A" w14:textId="77777777" w:rsidR="00FE0B2C" w:rsidRPr="00054A7E" w:rsidRDefault="00FE0B2C">
      <w:pPr>
        <w:pStyle w:val="BodyText"/>
        <w:numPr>
          <w:ilvl w:val="5"/>
          <w:numId w:val="55"/>
        </w:numPr>
        <w:spacing w:before="154" w:after="20" w:line="290" w:lineRule="auto"/>
        <w:ind w:left="851" w:right="230"/>
        <w:jc w:val="left"/>
        <w:rPr>
          <w:color w:val="45545F"/>
          <w:sz w:val="24"/>
          <w:szCs w:val="24"/>
        </w:rPr>
      </w:pPr>
      <w:r w:rsidRPr="00054A7E">
        <w:rPr>
          <w:color w:val="45545F"/>
          <w:sz w:val="24"/>
          <w:szCs w:val="24"/>
        </w:rPr>
        <w:t xml:space="preserve">the proportion of surplus arising as a result of the employer’s contributions, </w:t>
      </w:r>
    </w:p>
    <w:p w14:paraId="16A4D002" w14:textId="77777777" w:rsidR="00FE0B2C" w:rsidRPr="00054A7E" w:rsidRDefault="00FE0B2C">
      <w:pPr>
        <w:pStyle w:val="BodyText"/>
        <w:numPr>
          <w:ilvl w:val="5"/>
          <w:numId w:val="55"/>
        </w:numPr>
        <w:spacing w:before="154" w:after="20" w:line="290" w:lineRule="auto"/>
        <w:ind w:left="851" w:right="230"/>
        <w:jc w:val="left"/>
        <w:rPr>
          <w:color w:val="45545F"/>
          <w:sz w:val="24"/>
          <w:szCs w:val="24"/>
        </w:rPr>
      </w:pPr>
      <w:r w:rsidRPr="00054A7E">
        <w:rPr>
          <w:color w:val="45545F"/>
          <w:sz w:val="24"/>
          <w:szCs w:val="24"/>
        </w:rPr>
        <w:t xml:space="preserve">any representations (such as risk sharing agreements or guarantees) made by the exiting employer and any employer providing a guarantee (or some other form of employer assistance/support) and </w:t>
      </w:r>
    </w:p>
    <w:p w14:paraId="4BCC8D5B" w14:textId="77777777" w:rsidR="00FE0B2C" w:rsidRPr="00054A7E" w:rsidRDefault="00FE0B2C">
      <w:pPr>
        <w:pStyle w:val="BodyText"/>
        <w:numPr>
          <w:ilvl w:val="5"/>
          <w:numId w:val="55"/>
        </w:numPr>
        <w:spacing w:before="154" w:after="20" w:line="290" w:lineRule="auto"/>
        <w:ind w:left="851" w:right="230"/>
        <w:jc w:val="left"/>
        <w:rPr>
          <w:color w:val="45545F"/>
          <w:sz w:val="24"/>
          <w:szCs w:val="24"/>
        </w:rPr>
      </w:pPr>
      <w:r w:rsidRPr="00054A7E">
        <w:rPr>
          <w:color w:val="45545F"/>
          <w:sz w:val="24"/>
          <w:szCs w:val="24"/>
        </w:rPr>
        <w:t>any other factors the Administering Authority deem relevant.</w:t>
      </w:r>
    </w:p>
    <w:p w14:paraId="52949C5A" w14:textId="77777777" w:rsidR="00304051" w:rsidRPr="00054A7E" w:rsidRDefault="00304051">
      <w:pPr>
        <w:spacing w:after="200"/>
        <w:jc w:val="left"/>
        <w:rPr>
          <w:color w:val="455560"/>
          <w:sz w:val="24"/>
          <w:szCs w:val="24"/>
          <w:lang w:eastAsia="en-US"/>
        </w:rPr>
      </w:pPr>
    </w:p>
    <w:p w14:paraId="5B2A2DFF" w14:textId="77777777" w:rsidR="00007FAA" w:rsidRPr="00054A7E" w:rsidRDefault="00007FAA" w:rsidP="00007FAA">
      <w:pPr>
        <w:spacing w:after="200"/>
        <w:jc w:val="left"/>
        <w:rPr>
          <w:color w:val="455560"/>
          <w:sz w:val="24"/>
          <w:szCs w:val="24"/>
          <w:lang w:eastAsia="en-US"/>
        </w:rPr>
      </w:pPr>
      <w:r w:rsidRPr="00054A7E">
        <w:rPr>
          <w:color w:val="455560"/>
          <w:sz w:val="24"/>
          <w:szCs w:val="24"/>
          <w:lang w:eastAsia="en-US"/>
        </w:rPr>
        <w:t>The Fund’s policy on exit credits is available here: [URL to be added].</w:t>
      </w:r>
    </w:p>
    <w:p w14:paraId="6F263A85" w14:textId="77777777" w:rsidR="00570424" w:rsidRPr="00D5436F" w:rsidRDefault="00570424">
      <w:pPr>
        <w:spacing w:after="200"/>
        <w:jc w:val="left"/>
        <w:rPr>
          <w:color w:val="455560"/>
          <w:sz w:val="24"/>
          <w:szCs w:val="24"/>
          <w:u w:val="single"/>
          <w:lang w:eastAsia="en-US"/>
        </w:rPr>
      </w:pPr>
      <w:r w:rsidRPr="00054A7E">
        <w:rPr>
          <w:color w:val="455560"/>
          <w:sz w:val="24"/>
          <w:szCs w:val="24"/>
          <w:u w:val="single"/>
          <w:lang w:eastAsia="en-US"/>
        </w:rPr>
        <w:lastRenderedPageBreak/>
        <w:t>Allowance for McCloud on cessation</w:t>
      </w:r>
    </w:p>
    <w:p w14:paraId="31F58CF3" w14:textId="6A34301A" w:rsidR="00E967FC" w:rsidRPr="009B5375" w:rsidRDefault="00E967FC" w:rsidP="00E967FC">
      <w:pPr>
        <w:spacing w:after="200"/>
        <w:jc w:val="left"/>
        <w:rPr>
          <w:color w:val="455560"/>
          <w:sz w:val="24"/>
          <w:szCs w:val="24"/>
          <w:lang w:eastAsia="en-US"/>
        </w:rPr>
      </w:pPr>
      <w:r w:rsidRPr="00416A92">
        <w:rPr>
          <w:color w:val="455560"/>
          <w:sz w:val="24"/>
          <w:szCs w:val="24"/>
          <w:lang w:eastAsia="en-US"/>
        </w:rPr>
        <w:t xml:space="preserve">As discussed in Section </w:t>
      </w:r>
      <w:r w:rsidRPr="00416A92">
        <w:rPr>
          <w:color w:val="455560"/>
          <w:sz w:val="24"/>
          <w:szCs w:val="24"/>
          <w:lang w:eastAsia="en-US"/>
        </w:rPr>
        <w:fldChar w:fldCharType="begin"/>
      </w:r>
      <w:r w:rsidRPr="00416A92">
        <w:rPr>
          <w:color w:val="455560"/>
          <w:sz w:val="24"/>
          <w:szCs w:val="24"/>
          <w:lang w:eastAsia="en-US"/>
        </w:rPr>
        <w:instrText xml:space="preserve"> REF _Ref16589965 \r \h </w:instrText>
      </w:r>
      <w:r w:rsidR="00C86041" w:rsidRPr="00535194">
        <w:rPr>
          <w:color w:val="455560"/>
          <w:sz w:val="24"/>
          <w:szCs w:val="24"/>
          <w:lang w:eastAsia="en-US"/>
        </w:rPr>
        <w:instrText xml:space="preserve"> \* MERGEFORMAT </w:instrText>
      </w:r>
      <w:r w:rsidRPr="00416A92">
        <w:rPr>
          <w:color w:val="455560"/>
          <w:sz w:val="24"/>
          <w:szCs w:val="24"/>
          <w:lang w:eastAsia="en-US"/>
        </w:rPr>
      </w:r>
      <w:r w:rsidRPr="00416A92">
        <w:rPr>
          <w:color w:val="455560"/>
          <w:sz w:val="24"/>
          <w:szCs w:val="24"/>
          <w:lang w:eastAsia="en-US"/>
        </w:rPr>
        <w:fldChar w:fldCharType="separate"/>
      </w:r>
      <w:r w:rsidRPr="00416A92">
        <w:rPr>
          <w:color w:val="455560"/>
          <w:sz w:val="24"/>
          <w:szCs w:val="24"/>
          <w:lang w:eastAsia="en-US"/>
        </w:rPr>
        <w:t>2.7</w:t>
      </w:r>
      <w:r w:rsidRPr="00416A92">
        <w:rPr>
          <w:color w:val="455560"/>
          <w:sz w:val="24"/>
          <w:szCs w:val="24"/>
          <w:lang w:eastAsia="en-US"/>
        </w:rPr>
        <w:fldChar w:fldCharType="end"/>
      </w:r>
      <w:r w:rsidRPr="00416A92">
        <w:rPr>
          <w:color w:val="455560"/>
          <w:sz w:val="24"/>
          <w:szCs w:val="24"/>
          <w:lang w:eastAsia="en-US"/>
        </w:rPr>
        <w:t>, the LGPS benefit structure from 1 April 2014 is currently under review following the Government’s loss of the right to appeal the McCloud and other similar court cases. The Fund has considered how it will reflect the current uncertainty regarding the outcome of this judgement in its approach to cessation valuations. For cessation valuations that are carried out before any changes to the LGPS benefit structure (from 1 April 2014) are confirmed, the Fund’s policy is that the actuary will</w:t>
      </w:r>
      <w:r w:rsidR="009B5375">
        <w:rPr>
          <w:color w:val="455560"/>
          <w:sz w:val="24"/>
          <w:szCs w:val="24"/>
          <w:lang w:eastAsia="en-US"/>
        </w:rPr>
        <w:t xml:space="preserve"> </w:t>
      </w:r>
      <w:r w:rsidRPr="009B5375">
        <w:rPr>
          <w:color w:val="455560"/>
          <w:sz w:val="24"/>
          <w:szCs w:val="24"/>
          <w:lang w:eastAsia="en-US"/>
        </w:rPr>
        <w:t>apply a</w:t>
      </w:r>
      <w:r w:rsidR="009B5375" w:rsidRPr="009B5375">
        <w:rPr>
          <w:color w:val="455560"/>
          <w:sz w:val="24"/>
          <w:szCs w:val="24"/>
          <w:lang w:eastAsia="en-US"/>
        </w:rPr>
        <w:t xml:space="preserve">n uplift </w:t>
      </w:r>
      <w:r w:rsidRPr="009B5375">
        <w:rPr>
          <w:color w:val="455560"/>
          <w:sz w:val="24"/>
          <w:szCs w:val="24"/>
          <w:lang w:eastAsia="en-US"/>
        </w:rPr>
        <w:t xml:space="preserve">loading to the </w:t>
      </w:r>
      <w:r w:rsidR="00684370" w:rsidRPr="009B5375">
        <w:rPr>
          <w:color w:val="455560"/>
          <w:sz w:val="24"/>
          <w:szCs w:val="24"/>
          <w:lang w:eastAsia="en-US"/>
        </w:rPr>
        <w:t xml:space="preserve">active and deferred liabilities of the </w:t>
      </w:r>
      <w:r w:rsidRPr="009B5375">
        <w:rPr>
          <w:color w:val="455560"/>
          <w:sz w:val="24"/>
          <w:szCs w:val="24"/>
          <w:lang w:eastAsia="en-US"/>
        </w:rPr>
        <w:t>ceasing employer, as an estimate of the possible impact of resulting benefit changes.</w:t>
      </w:r>
    </w:p>
    <w:p w14:paraId="573B666C" w14:textId="78FF05B1" w:rsidR="00E92ABD" w:rsidRPr="00054A7E" w:rsidRDefault="00E92ABD" w:rsidP="00E967FC">
      <w:pPr>
        <w:spacing w:after="200"/>
        <w:jc w:val="left"/>
        <w:rPr>
          <w:color w:val="455560"/>
          <w:sz w:val="24"/>
          <w:szCs w:val="24"/>
          <w:lang w:eastAsia="en-US"/>
        </w:rPr>
      </w:pPr>
      <w:r w:rsidRPr="00054A7E">
        <w:rPr>
          <w:color w:val="455560"/>
          <w:sz w:val="24"/>
          <w:szCs w:val="24"/>
          <w:u w:val="single"/>
          <w:lang w:eastAsia="en-US"/>
        </w:rPr>
        <w:t>Allowance for expenses on cessation</w:t>
      </w:r>
      <w:r w:rsidRPr="00054A7E">
        <w:rPr>
          <w:color w:val="455560"/>
          <w:sz w:val="24"/>
          <w:szCs w:val="24"/>
          <w:lang w:eastAsia="en-US"/>
        </w:rPr>
        <w:t xml:space="preserve"> </w:t>
      </w:r>
    </w:p>
    <w:p w14:paraId="01331206" w14:textId="6087DD23" w:rsidR="00E967FC" w:rsidRPr="00054A7E" w:rsidRDefault="00E967FC" w:rsidP="00E967FC">
      <w:pPr>
        <w:spacing w:after="200"/>
        <w:jc w:val="left"/>
        <w:rPr>
          <w:color w:val="455560"/>
          <w:sz w:val="24"/>
          <w:szCs w:val="24"/>
          <w:lang w:eastAsia="en-US"/>
        </w:rPr>
      </w:pPr>
      <w:r w:rsidRPr="00054A7E">
        <w:rPr>
          <w:color w:val="455560"/>
          <w:sz w:val="24"/>
          <w:szCs w:val="24"/>
          <w:lang w:eastAsia="en-US"/>
        </w:rPr>
        <w:t xml:space="preserve">The Fund Actuary charges a fee for carrying out an employer’s cessation valuation and there will be other Fund administration expenses associated with the cessation, both of which the Fund will recharge to the employer. For the purposes of the cessation valuation, this fee will be treated as an expense incurred by the employer and will be deducted from the employer’s cessation surplus or added to the employer’s cessation deficit, as appropriate. This process improves administrative efficiency as it reduces the number of transactions required to be made between the employer and the Fund following an employer’s cessation. </w:t>
      </w:r>
    </w:p>
    <w:p w14:paraId="3EB34AFC" w14:textId="77777777" w:rsidR="00E16EFC" w:rsidRPr="00054A7E" w:rsidRDefault="00E16EFC" w:rsidP="0047682A">
      <w:pPr>
        <w:pStyle w:val="BodyTextGrey"/>
        <w:rPr>
          <w:sz w:val="24"/>
          <w:szCs w:val="24"/>
          <w:u w:val="single"/>
        </w:rPr>
      </w:pPr>
      <w:r w:rsidRPr="00054A7E">
        <w:rPr>
          <w:sz w:val="24"/>
          <w:szCs w:val="24"/>
          <w:u w:val="single"/>
        </w:rPr>
        <w:t>Actuarial basis on cessation</w:t>
      </w:r>
    </w:p>
    <w:p w14:paraId="321EF4EC" w14:textId="499A476F" w:rsidR="0047682A" w:rsidRPr="00054A7E" w:rsidRDefault="0047682A" w:rsidP="0047682A">
      <w:pPr>
        <w:pStyle w:val="BodyTextGrey"/>
        <w:rPr>
          <w:sz w:val="24"/>
          <w:szCs w:val="24"/>
        </w:rPr>
      </w:pPr>
      <w:r w:rsidRPr="00054A7E">
        <w:rPr>
          <w:sz w:val="24"/>
          <w:szCs w:val="24"/>
        </w:rPr>
        <w:t>For non-Transferee Admission Bodies whose participation is voluntarily ended either by themselves or the Fund, or where a cessation event has been triggered, the Administering Authority must look to protect the interests of other ongoing employers.  The actuary will therefore adopt an approach which, to the extent reasonably practicable, protects the other employers from the likelihood of any material loss emerging in future:</w:t>
      </w:r>
    </w:p>
    <w:p w14:paraId="68A6C17F" w14:textId="3B5086FF" w:rsidR="0047682A" w:rsidRPr="00054A7E" w:rsidRDefault="0047682A" w:rsidP="00D5436F">
      <w:pPr>
        <w:pStyle w:val="BodyTextGrey"/>
        <w:numPr>
          <w:ilvl w:val="4"/>
          <w:numId w:val="70"/>
        </w:numPr>
        <w:ind w:left="709" w:hanging="567"/>
        <w:rPr>
          <w:sz w:val="24"/>
          <w:szCs w:val="24"/>
        </w:rPr>
      </w:pPr>
      <w:r w:rsidRPr="00054A7E">
        <w:rPr>
          <w:sz w:val="24"/>
          <w:szCs w:val="24"/>
        </w:rPr>
        <w:t>Where a guarantor does not exist then, in order to protect other employers in the Fund, the cessation liabilities and final deficit</w:t>
      </w:r>
      <w:r w:rsidR="003B5E98" w:rsidRPr="00054A7E">
        <w:rPr>
          <w:sz w:val="24"/>
          <w:szCs w:val="24"/>
        </w:rPr>
        <w:t>/surplus</w:t>
      </w:r>
      <w:r w:rsidRPr="00054A7E">
        <w:rPr>
          <w:sz w:val="24"/>
          <w:szCs w:val="24"/>
        </w:rPr>
        <w:t xml:space="preserve"> will normally be calculated using a “gilts </w:t>
      </w:r>
      <w:r w:rsidR="00E967FC" w:rsidRPr="00054A7E">
        <w:rPr>
          <w:sz w:val="24"/>
          <w:szCs w:val="24"/>
        </w:rPr>
        <w:t xml:space="preserve">exit </w:t>
      </w:r>
      <w:r w:rsidRPr="00054A7E">
        <w:rPr>
          <w:sz w:val="24"/>
          <w:szCs w:val="24"/>
        </w:rPr>
        <w:t xml:space="preserve">basis”, which is more prudent than the ongoing </w:t>
      </w:r>
      <w:r w:rsidR="00E967FC" w:rsidRPr="00054A7E">
        <w:rPr>
          <w:sz w:val="24"/>
          <w:szCs w:val="24"/>
        </w:rPr>
        <w:t xml:space="preserve">participation </w:t>
      </w:r>
      <w:r w:rsidRPr="00054A7E">
        <w:rPr>
          <w:sz w:val="24"/>
          <w:szCs w:val="24"/>
        </w:rPr>
        <w:t xml:space="preserve">basis.  This has no allowance for potential future investment outperformance above gilt yields, and has added allowance for future improvements in life expectancy. This could give rise to significant cessation debts being required.  </w:t>
      </w:r>
    </w:p>
    <w:p w14:paraId="605A1514" w14:textId="6F1A1267" w:rsidR="0047682A" w:rsidRPr="00054A7E" w:rsidRDefault="0047682A" w:rsidP="00D5436F">
      <w:pPr>
        <w:pStyle w:val="BodyTextGrey"/>
        <w:numPr>
          <w:ilvl w:val="4"/>
          <w:numId w:val="70"/>
        </w:numPr>
        <w:ind w:left="709" w:hanging="567"/>
        <w:rPr>
          <w:sz w:val="24"/>
          <w:szCs w:val="24"/>
        </w:rPr>
      </w:pPr>
      <w:r w:rsidRPr="00054A7E">
        <w:rPr>
          <w:sz w:val="24"/>
          <w:szCs w:val="24"/>
        </w:rPr>
        <w:t xml:space="preserve">Where there is a guarantor for future deficits and contributions, the details of the guarantee will be considered prior to the cessation valuation being carried out.   In some cases the guarantor is simply guarantor of last resort and therefore the cessation valuation will be carried out consistently with the approach taken had there been no guarantor in place.  Alternatively, where the guarantor is not simply guarantor of last resort, the cessation may be calculated using the ongoing </w:t>
      </w:r>
      <w:r w:rsidR="00E967FC" w:rsidRPr="00054A7E">
        <w:rPr>
          <w:sz w:val="24"/>
          <w:szCs w:val="24"/>
        </w:rPr>
        <w:t xml:space="preserve">participation </w:t>
      </w:r>
      <w:r w:rsidRPr="00054A7E">
        <w:rPr>
          <w:sz w:val="24"/>
          <w:szCs w:val="24"/>
        </w:rPr>
        <w:t xml:space="preserve">basis </w:t>
      </w:r>
      <w:r w:rsidR="00E967FC" w:rsidRPr="00054A7E">
        <w:rPr>
          <w:sz w:val="24"/>
          <w:szCs w:val="24"/>
        </w:rPr>
        <w:t xml:space="preserve">or contractor exit basis </w:t>
      </w:r>
      <w:r w:rsidRPr="00054A7E">
        <w:rPr>
          <w:sz w:val="24"/>
          <w:szCs w:val="24"/>
        </w:rPr>
        <w:t xml:space="preserve">as described in </w:t>
      </w:r>
      <w:hyperlink w:anchor="AppendixE" w:history="1">
        <w:r w:rsidRPr="00054A7E">
          <w:rPr>
            <w:rStyle w:val="Hyperlink"/>
            <w:sz w:val="24"/>
            <w:szCs w:val="24"/>
          </w:rPr>
          <w:t>Appendix E</w:t>
        </w:r>
      </w:hyperlink>
      <w:r w:rsidRPr="00054A7E">
        <w:rPr>
          <w:sz w:val="24"/>
          <w:szCs w:val="24"/>
        </w:rPr>
        <w:t>;</w:t>
      </w:r>
    </w:p>
    <w:p w14:paraId="7AE78856" w14:textId="432CC7F2" w:rsidR="0047682A" w:rsidRPr="00054A7E" w:rsidRDefault="0047682A" w:rsidP="00D5436F">
      <w:pPr>
        <w:pStyle w:val="BodyTextGrey"/>
        <w:numPr>
          <w:ilvl w:val="4"/>
          <w:numId w:val="70"/>
        </w:numPr>
        <w:ind w:left="709" w:hanging="567"/>
        <w:rPr>
          <w:sz w:val="24"/>
          <w:szCs w:val="24"/>
        </w:rPr>
      </w:pPr>
      <w:r w:rsidRPr="00054A7E">
        <w:rPr>
          <w:sz w:val="24"/>
          <w:szCs w:val="24"/>
        </w:rPr>
        <w:t>Again, depending on the nature of the guarantee, it may be possible to simply transfer the former Admission Body’s liabilities and assets to the guarantor, without needing to crystallise any deficit</w:t>
      </w:r>
      <w:r w:rsidR="0035093B" w:rsidRPr="00054A7E">
        <w:rPr>
          <w:sz w:val="24"/>
          <w:szCs w:val="24"/>
        </w:rPr>
        <w:t xml:space="preserve"> or surplus</w:t>
      </w:r>
      <w:r w:rsidRPr="00054A7E">
        <w:rPr>
          <w:sz w:val="24"/>
          <w:szCs w:val="24"/>
        </w:rPr>
        <w:t>. This approach may be adopted where the employer cannot pay the contributions due, and this is within the terms of the guarantee.</w:t>
      </w:r>
    </w:p>
    <w:p w14:paraId="3606620B" w14:textId="0E8C9302" w:rsidR="00EC7495" w:rsidRPr="00416A92" w:rsidRDefault="0047682A" w:rsidP="00EC7495">
      <w:pPr>
        <w:pStyle w:val="BodyTextGrey"/>
        <w:rPr>
          <w:sz w:val="24"/>
          <w:szCs w:val="24"/>
        </w:rPr>
      </w:pPr>
      <w:r w:rsidRPr="00054A7E">
        <w:rPr>
          <w:sz w:val="24"/>
          <w:szCs w:val="24"/>
        </w:rPr>
        <w:t>Under (a) and (c), any shortfall would usually be levied on the departing Admission Body as a single lump sum payment.  If this is not possible then the Fund</w:t>
      </w:r>
      <w:r w:rsidR="00E967FC" w:rsidRPr="00054A7E">
        <w:rPr>
          <w:sz w:val="24"/>
          <w:szCs w:val="24"/>
        </w:rPr>
        <w:t xml:space="preserve"> may </w:t>
      </w:r>
      <w:r w:rsidRPr="00054A7E">
        <w:rPr>
          <w:sz w:val="24"/>
          <w:szCs w:val="24"/>
        </w:rPr>
        <w:t>spread the payment</w:t>
      </w:r>
      <w:r w:rsidRPr="00416A92">
        <w:rPr>
          <w:sz w:val="24"/>
          <w:szCs w:val="24"/>
        </w:rPr>
        <w:t xml:space="preserve"> </w:t>
      </w:r>
      <w:r w:rsidRPr="00416A92">
        <w:rPr>
          <w:sz w:val="24"/>
          <w:szCs w:val="24"/>
        </w:rPr>
        <w:lastRenderedPageBreak/>
        <w:t>subject to there being some security in place for the employer such as a bond indemnity or guarantee</w:t>
      </w:r>
      <w:r w:rsidR="00EC7495" w:rsidRPr="00416A92">
        <w:rPr>
          <w:sz w:val="24"/>
          <w:szCs w:val="24"/>
        </w:rPr>
        <w:t>.</w:t>
      </w:r>
    </w:p>
    <w:p w14:paraId="7F024ECD" w14:textId="77777777" w:rsidR="00FC6D62" w:rsidRPr="00416A92" w:rsidRDefault="00EC7495" w:rsidP="00EC7495">
      <w:pPr>
        <w:pStyle w:val="BodyTextGrey"/>
        <w:rPr>
          <w:sz w:val="24"/>
          <w:szCs w:val="24"/>
        </w:rPr>
      </w:pPr>
      <w:r w:rsidRPr="00416A92">
        <w:rPr>
          <w:sz w:val="24"/>
          <w:szCs w:val="24"/>
        </w:rPr>
        <w:t>In the event that the Fund is not able to recover the required payment in full, then the unpaid amounts fall to be shared amongst all of the other employers in the Fund.  This may require an immediate revision to the Rates and Adjustments Certificate affecting other employers in the Fund, or instead be reflected in the contribution rates set at the next formal valuation following the cessation date</w:t>
      </w:r>
      <w:r w:rsidR="00283E56" w:rsidRPr="00416A92">
        <w:rPr>
          <w:sz w:val="24"/>
          <w:szCs w:val="24"/>
        </w:rPr>
        <w:t>.</w:t>
      </w:r>
    </w:p>
    <w:p w14:paraId="4DC8589B" w14:textId="01641190" w:rsidR="00EC7495" w:rsidRPr="00416A92" w:rsidRDefault="00EC7495" w:rsidP="00EC7495">
      <w:pPr>
        <w:pStyle w:val="BodyTextGrey"/>
        <w:rPr>
          <w:sz w:val="24"/>
          <w:szCs w:val="24"/>
        </w:rPr>
      </w:pPr>
    </w:p>
    <w:p w14:paraId="366EAF20" w14:textId="77777777" w:rsidR="0035093B" w:rsidRPr="00416A92" w:rsidRDefault="0035093B" w:rsidP="0035093B">
      <w:pPr>
        <w:pStyle w:val="BodyTextGrey"/>
        <w:rPr>
          <w:sz w:val="24"/>
          <w:szCs w:val="24"/>
        </w:rPr>
      </w:pPr>
      <w:r w:rsidRPr="00416A92">
        <w:rPr>
          <w:sz w:val="24"/>
          <w:szCs w:val="24"/>
        </w:rPr>
        <w:t>For employers that are guaranteed by a guarantor (usually the original employer or letting authority), the Fund’s policy at the point of cessation is for the guarantor to subsume the residual assets, liabilities and any surplus or deficit. This is subject to the agreement of all parties involved (i.e. the Fund, the exiting employer and the guarantor) who will need to consider any separate contractual agreements that have been put in place between the exiting employer and the guarantor.</w:t>
      </w:r>
    </w:p>
    <w:p w14:paraId="78E2D9CB" w14:textId="77777777" w:rsidR="00067C5A" w:rsidRPr="00054A7E" w:rsidRDefault="0035093B" w:rsidP="0035093B">
      <w:pPr>
        <w:pStyle w:val="BodyTextGrey"/>
        <w:rPr>
          <w:sz w:val="24"/>
          <w:szCs w:val="24"/>
        </w:rPr>
      </w:pPr>
      <w:r w:rsidRPr="00416A92">
        <w:rPr>
          <w:sz w:val="24"/>
          <w:szCs w:val="24"/>
        </w:rPr>
        <w:t xml:space="preserve">If </w:t>
      </w:r>
      <w:r w:rsidRPr="00054A7E">
        <w:rPr>
          <w:sz w:val="24"/>
          <w:szCs w:val="24"/>
        </w:rPr>
        <w:t>all parties do not agree, then</w:t>
      </w:r>
      <w:r w:rsidR="00067C5A" w:rsidRPr="00054A7E">
        <w:rPr>
          <w:sz w:val="24"/>
          <w:szCs w:val="24"/>
        </w:rPr>
        <w:t>:</w:t>
      </w:r>
    </w:p>
    <w:p w14:paraId="01DB8ECD" w14:textId="784C71A4" w:rsidR="007902C6" w:rsidRPr="00054A7E" w:rsidRDefault="00067C5A" w:rsidP="00067C5A">
      <w:pPr>
        <w:pStyle w:val="BodyTextGrey"/>
        <w:numPr>
          <w:ilvl w:val="0"/>
          <w:numId w:val="71"/>
        </w:numPr>
        <w:rPr>
          <w:sz w:val="24"/>
          <w:szCs w:val="24"/>
        </w:rPr>
      </w:pPr>
      <w:r w:rsidRPr="00054A7E">
        <w:rPr>
          <w:sz w:val="24"/>
          <w:szCs w:val="24"/>
        </w:rPr>
        <w:t xml:space="preserve">any </w:t>
      </w:r>
      <w:r w:rsidR="0035093B" w:rsidRPr="00054A7E">
        <w:rPr>
          <w:sz w:val="24"/>
          <w:szCs w:val="24"/>
        </w:rPr>
        <w:t xml:space="preserve">surplus will </w:t>
      </w:r>
      <w:r w:rsidRPr="00054A7E">
        <w:rPr>
          <w:sz w:val="24"/>
          <w:szCs w:val="24"/>
        </w:rPr>
        <w:t xml:space="preserve">normally </w:t>
      </w:r>
      <w:r w:rsidR="0035093B" w:rsidRPr="00054A7E">
        <w:rPr>
          <w:sz w:val="24"/>
          <w:szCs w:val="24"/>
        </w:rPr>
        <w:t xml:space="preserve">be paid directly to the exiting employer </w:t>
      </w:r>
      <w:r w:rsidRPr="00054A7E">
        <w:rPr>
          <w:sz w:val="24"/>
          <w:szCs w:val="24"/>
        </w:rPr>
        <w:t>(but with regard to the Fund’s exit credit policy</w:t>
      </w:r>
      <w:r w:rsidR="00E02A81" w:rsidRPr="00054A7E">
        <w:rPr>
          <w:sz w:val="24"/>
          <w:szCs w:val="24"/>
        </w:rPr>
        <w:t xml:space="preserve"> – see above</w:t>
      </w:r>
      <w:r w:rsidR="00863B9C" w:rsidRPr="00054A7E">
        <w:rPr>
          <w:sz w:val="24"/>
          <w:szCs w:val="24"/>
        </w:rPr>
        <w:t xml:space="preserve"> under “Consideration of surplus / exit credit”</w:t>
      </w:r>
      <w:proofErr w:type="gramStart"/>
      <w:r w:rsidR="0035093B" w:rsidRPr="00054A7E">
        <w:rPr>
          <w:sz w:val="24"/>
          <w:szCs w:val="24"/>
        </w:rPr>
        <w:t>);</w:t>
      </w:r>
      <w:proofErr w:type="gramEnd"/>
      <w:r w:rsidR="0035093B" w:rsidRPr="00054A7E">
        <w:rPr>
          <w:sz w:val="24"/>
          <w:szCs w:val="24"/>
        </w:rPr>
        <w:t xml:space="preserve"> </w:t>
      </w:r>
    </w:p>
    <w:p w14:paraId="27FF563F" w14:textId="3C461F4D" w:rsidR="0035093B" w:rsidRPr="00054A7E" w:rsidRDefault="0035093B" w:rsidP="004A4AB1">
      <w:pPr>
        <w:pStyle w:val="BodyTextGrey"/>
        <w:numPr>
          <w:ilvl w:val="0"/>
          <w:numId w:val="71"/>
        </w:numPr>
        <w:rPr>
          <w:sz w:val="24"/>
          <w:szCs w:val="24"/>
        </w:rPr>
      </w:pPr>
      <w:r w:rsidRPr="00054A7E">
        <w:rPr>
          <w:sz w:val="24"/>
          <w:szCs w:val="24"/>
        </w:rPr>
        <w:t>in maintaining a consistent approach</w:t>
      </w:r>
      <w:r w:rsidR="007902C6" w:rsidRPr="00054A7E">
        <w:rPr>
          <w:sz w:val="24"/>
          <w:szCs w:val="24"/>
        </w:rPr>
        <w:t>,</w:t>
      </w:r>
      <w:r w:rsidRPr="00054A7E">
        <w:rPr>
          <w:sz w:val="24"/>
          <w:szCs w:val="24"/>
        </w:rPr>
        <w:t xml:space="preserve"> the Fund will seek to recover </w:t>
      </w:r>
      <w:r w:rsidR="007902C6" w:rsidRPr="00054A7E">
        <w:rPr>
          <w:sz w:val="24"/>
          <w:szCs w:val="24"/>
        </w:rPr>
        <w:t xml:space="preserve">any </w:t>
      </w:r>
      <w:r w:rsidRPr="00054A7E">
        <w:rPr>
          <w:sz w:val="24"/>
          <w:szCs w:val="24"/>
        </w:rPr>
        <w:t>deficit from the exiting employer in the first instance</w:t>
      </w:r>
      <w:r w:rsidR="007902C6" w:rsidRPr="00054A7E">
        <w:rPr>
          <w:sz w:val="24"/>
          <w:szCs w:val="24"/>
        </w:rPr>
        <w:t>,</w:t>
      </w:r>
      <w:r w:rsidRPr="00054A7E">
        <w:rPr>
          <w:sz w:val="24"/>
          <w:szCs w:val="24"/>
        </w:rPr>
        <w:t xml:space="preserve"> although if not possible the deficit will be subsumed by the guarantor; thereafter all remaining assets and liabilities will be subsumed by the </w:t>
      </w:r>
      <w:r w:rsidR="00D25B43" w:rsidRPr="00054A7E">
        <w:rPr>
          <w:sz w:val="24"/>
          <w:szCs w:val="24"/>
        </w:rPr>
        <w:t>letting authority</w:t>
      </w:r>
      <w:r w:rsidRPr="00054A7E">
        <w:rPr>
          <w:sz w:val="24"/>
          <w:szCs w:val="24"/>
        </w:rPr>
        <w:t>.</w:t>
      </w:r>
    </w:p>
    <w:p w14:paraId="0208BD03" w14:textId="77777777" w:rsidR="00872580" w:rsidRPr="00054A7E" w:rsidRDefault="00872580" w:rsidP="00872580">
      <w:pPr>
        <w:pStyle w:val="BodyText"/>
        <w:spacing w:line="290" w:lineRule="auto"/>
        <w:ind w:right="253"/>
        <w:rPr>
          <w:color w:val="4A4A4A" w:themeColor="accent5" w:themeShade="BF"/>
          <w:sz w:val="24"/>
          <w:szCs w:val="24"/>
        </w:rPr>
      </w:pPr>
      <w:r w:rsidRPr="00054A7E">
        <w:rPr>
          <w:color w:val="4A4A4A" w:themeColor="accent5" w:themeShade="BF"/>
          <w:sz w:val="24"/>
          <w:szCs w:val="24"/>
          <w:u w:val="single"/>
        </w:rPr>
        <w:t>Deferred Debt Agreement (“DDA”) alternative to immediate cessation</w:t>
      </w:r>
      <w:r w:rsidRPr="00054A7E">
        <w:rPr>
          <w:color w:val="4A4A4A" w:themeColor="accent5" w:themeShade="BF"/>
          <w:sz w:val="24"/>
          <w:szCs w:val="24"/>
        </w:rPr>
        <w:t xml:space="preserve"> </w:t>
      </w:r>
    </w:p>
    <w:p w14:paraId="2447CD9F" w14:textId="0826D2A0" w:rsidR="00872580" w:rsidRPr="00054A7E" w:rsidRDefault="00872580" w:rsidP="002F7970">
      <w:pPr>
        <w:pStyle w:val="BodyText"/>
        <w:spacing w:line="290" w:lineRule="auto"/>
        <w:ind w:right="253"/>
        <w:jc w:val="left"/>
        <w:rPr>
          <w:iCs w:val="0"/>
          <w:color w:val="4A4A4A" w:themeColor="accent5" w:themeShade="BF"/>
          <w:sz w:val="24"/>
          <w:szCs w:val="24"/>
        </w:rPr>
      </w:pPr>
      <w:r w:rsidRPr="00054A7E">
        <w:rPr>
          <w:color w:val="4A4A4A" w:themeColor="accent5" w:themeShade="BF"/>
          <w:sz w:val="24"/>
          <w:szCs w:val="24"/>
        </w:rPr>
        <w:t xml:space="preserve">As an alternative, where the ceasing Admission Body is continuing in business, the Administering Authority may enter into a written agreement with the Admission Body to defer their obligations to make an exit payment and continue to make secondary contributions (a ‘Deferred Debt Agreement’ as described in Regulation 64 (7A)).  The Admission Body must meet all active employer requirements and pay the secondary rate of contributions as determined by the Fund Actuary until the termination of the </w:t>
      </w:r>
      <w:r w:rsidR="002D5D47" w:rsidRPr="00054A7E">
        <w:rPr>
          <w:color w:val="4A4A4A" w:themeColor="accent5" w:themeShade="BF"/>
          <w:sz w:val="24"/>
          <w:szCs w:val="24"/>
        </w:rPr>
        <w:t>DDA</w:t>
      </w:r>
      <w:r w:rsidRPr="00054A7E">
        <w:rPr>
          <w:color w:val="4A4A4A" w:themeColor="accent5" w:themeShade="BF"/>
          <w:sz w:val="24"/>
          <w:szCs w:val="24"/>
        </w:rPr>
        <w:t>.</w:t>
      </w:r>
    </w:p>
    <w:p w14:paraId="71A819B5" w14:textId="6F5C79A0" w:rsidR="00872580" w:rsidRPr="00054A7E" w:rsidRDefault="00872580">
      <w:pPr>
        <w:pStyle w:val="BulletHymans"/>
        <w:rPr>
          <w:color w:val="4A4A4A" w:themeColor="accent5" w:themeShade="BF"/>
          <w:sz w:val="24"/>
          <w:szCs w:val="24"/>
        </w:rPr>
      </w:pPr>
      <w:r w:rsidRPr="00054A7E">
        <w:rPr>
          <w:color w:val="4A4A4A" w:themeColor="accent5" w:themeShade="BF"/>
          <w:sz w:val="24"/>
          <w:szCs w:val="24"/>
        </w:rPr>
        <w:t xml:space="preserve">The Administering Authority will consider </w:t>
      </w:r>
      <w:r w:rsidR="002D5D47" w:rsidRPr="00054A7E">
        <w:rPr>
          <w:color w:val="4A4A4A" w:themeColor="accent5" w:themeShade="BF"/>
          <w:sz w:val="24"/>
          <w:szCs w:val="24"/>
        </w:rPr>
        <w:t>DDAs</w:t>
      </w:r>
      <w:r w:rsidRPr="00054A7E">
        <w:rPr>
          <w:color w:val="4A4A4A" w:themeColor="accent5" w:themeShade="BF"/>
          <w:sz w:val="24"/>
          <w:szCs w:val="24"/>
        </w:rPr>
        <w:t xml:space="preserve"> in the following circumstances: </w:t>
      </w:r>
    </w:p>
    <w:p w14:paraId="58EF1BDB" w14:textId="32532ACC" w:rsidR="00872580" w:rsidRPr="00054A7E" w:rsidRDefault="00872580" w:rsidP="002F7970">
      <w:pPr>
        <w:pStyle w:val="BulletHymans"/>
        <w:numPr>
          <w:ilvl w:val="0"/>
          <w:numId w:val="69"/>
        </w:numPr>
        <w:spacing w:line="240" w:lineRule="auto"/>
        <w:rPr>
          <w:color w:val="4A4A4A" w:themeColor="accent5" w:themeShade="BF"/>
          <w:sz w:val="24"/>
          <w:szCs w:val="24"/>
        </w:rPr>
      </w:pPr>
      <w:r w:rsidRPr="00054A7E">
        <w:rPr>
          <w:color w:val="4A4A4A" w:themeColor="accent5" w:themeShade="BF"/>
          <w:sz w:val="24"/>
          <w:szCs w:val="24"/>
        </w:rPr>
        <w:t xml:space="preserve">The Admission Body requests the Fund consider a </w:t>
      </w:r>
      <w:r w:rsidR="002D5D47" w:rsidRPr="00054A7E">
        <w:rPr>
          <w:color w:val="4A4A4A" w:themeColor="accent5" w:themeShade="BF"/>
          <w:sz w:val="24"/>
          <w:szCs w:val="24"/>
        </w:rPr>
        <w:t>DDA</w:t>
      </w:r>
      <w:r w:rsidRPr="00054A7E">
        <w:rPr>
          <w:color w:val="4A4A4A" w:themeColor="accent5" w:themeShade="BF"/>
          <w:sz w:val="24"/>
          <w:szCs w:val="24"/>
        </w:rPr>
        <w:t>;</w:t>
      </w:r>
    </w:p>
    <w:p w14:paraId="680C77FF" w14:textId="77777777" w:rsidR="00872580" w:rsidRPr="00054A7E" w:rsidRDefault="00872580" w:rsidP="002F7970">
      <w:pPr>
        <w:pStyle w:val="BulletHymans"/>
        <w:numPr>
          <w:ilvl w:val="0"/>
          <w:numId w:val="69"/>
        </w:numPr>
        <w:spacing w:line="240" w:lineRule="auto"/>
        <w:rPr>
          <w:color w:val="4A4A4A" w:themeColor="accent5" w:themeShade="BF"/>
          <w:sz w:val="24"/>
          <w:szCs w:val="24"/>
        </w:rPr>
      </w:pPr>
      <w:r w:rsidRPr="00054A7E">
        <w:rPr>
          <w:color w:val="4A4A4A" w:themeColor="accent5" w:themeShade="BF"/>
          <w:sz w:val="24"/>
          <w:szCs w:val="24"/>
        </w:rPr>
        <w:t>The Admission Body is expected to have a deficit if a cessation valuation was carried out;</w:t>
      </w:r>
    </w:p>
    <w:p w14:paraId="416470DD" w14:textId="77777777" w:rsidR="00872580" w:rsidRPr="00054A7E" w:rsidRDefault="00872580" w:rsidP="002F7970">
      <w:pPr>
        <w:pStyle w:val="BulletHymans"/>
        <w:numPr>
          <w:ilvl w:val="0"/>
          <w:numId w:val="69"/>
        </w:numPr>
        <w:spacing w:line="240" w:lineRule="auto"/>
        <w:rPr>
          <w:color w:val="4A4A4A" w:themeColor="accent5" w:themeShade="BF"/>
          <w:sz w:val="24"/>
          <w:szCs w:val="24"/>
        </w:rPr>
      </w:pPr>
      <w:r w:rsidRPr="00054A7E">
        <w:rPr>
          <w:color w:val="4A4A4A" w:themeColor="accent5" w:themeShade="BF"/>
          <w:sz w:val="24"/>
          <w:szCs w:val="24"/>
        </w:rPr>
        <w:t>The Admission Body is expected to be a going concern; and</w:t>
      </w:r>
    </w:p>
    <w:p w14:paraId="454AB875" w14:textId="77777777" w:rsidR="00872580" w:rsidRPr="00054A7E" w:rsidRDefault="00872580" w:rsidP="002F7970">
      <w:pPr>
        <w:pStyle w:val="BulletHymans"/>
        <w:numPr>
          <w:ilvl w:val="0"/>
          <w:numId w:val="69"/>
        </w:numPr>
        <w:spacing w:line="240" w:lineRule="auto"/>
        <w:rPr>
          <w:color w:val="4A4A4A" w:themeColor="accent5" w:themeShade="BF"/>
          <w:sz w:val="24"/>
          <w:szCs w:val="24"/>
        </w:rPr>
      </w:pPr>
      <w:r w:rsidRPr="00054A7E">
        <w:rPr>
          <w:color w:val="4A4A4A" w:themeColor="accent5" w:themeShade="BF"/>
          <w:sz w:val="24"/>
          <w:szCs w:val="24"/>
        </w:rPr>
        <w:t xml:space="preserve">The covenant of the Admission Body is considered sufficient by the Administering Authority. </w:t>
      </w:r>
    </w:p>
    <w:p w14:paraId="5E93491A" w14:textId="77777777" w:rsidR="00872580" w:rsidRPr="00054A7E" w:rsidRDefault="00872580" w:rsidP="002F7970">
      <w:pPr>
        <w:pStyle w:val="BulletHymans"/>
        <w:ind w:left="567" w:hanging="567"/>
        <w:rPr>
          <w:color w:val="4A4A4A" w:themeColor="accent5" w:themeShade="BF"/>
          <w:sz w:val="24"/>
          <w:szCs w:val="24"/>
        </w:rPr>
      </w:pPr>
      <w:r w:rsidRPr="00054A7E">
        <w:rPr>
          <w:color w:val="4A4A4A" w:themeColor="accent5" w:themeShade="BF"/>
          <w:sz w:val="24"/>
          <w:szCs w:val="24"/>
        </w:rPr>
        <w:t xml:space="preserve">The Administering Authority will normally require: </w:t>
      </w:r>
    </w:p>
    <w:p w14:paraId="53685A2A" w14:textId="77777777" w:rsidR="00872580" w:rsidRPr="00054A7E" w:rsidRDefault="00872580" w:rsidP="002F7970">
      <w:pPr>
        <w:pStyle w:val="BulletHymans"/>
        <w:numPr>
          <w:ilvl w:val="0"/>
          <w:numId w:val="69"/>
        </w:numPr>
        <w:spacing w:line="240" w:lineRule="auto"/>
        <w:rPr>
          <w:color w:val="4A4A4A" w:themeColor="accent5" w:themeShade="BF"/>
          <w:sz w:val="24"/>
          <w:szCs w:val="24"/>
        </w:rPr>
      </w:pPr>
      <w:r w:rsidRPr="00054A7E">
        <w:rPr>
          <w:color w:val="4A4A4A" w:themeColor="accent5" w:themeShade="BF"/>
          <w:sz w:val="24"/>
          <w:szCs w:val="24"/>
        </w:rPr>
        <w:t>Security be put in place covering the Admission Body’s deficit on their cessation basis;</w:t>
      </w:r>
    </w:p>
    <w:p w14:paraId="6557D06D" w14:textId="77777777" w:rsidR="00872580" w:rsidRPr="00054A7E" w:rsidRDefault="00872580" w:rsidP="002F7970">
      <w:pPr>
        <w:pStyle w:val="BulletHymans"/>
        <w:numPr>
          <w:ilvl w:val="0"/>
          <w:numId w:val="69"/>
        </w:numPr>
        <w:spacing w:line="240" w:lineRule="auto"/>
        <w:rPr>
          <w:color w:val="4A4A4A" w:themeColor="accent5" w:themeShade="BF"/>
          <w:sz w:val="24"/>
          <w:szCs w:val="24"/>
        </w:rPr>
      </w:pPr>
      <w:r w:rsidRPr="00054A7E">
        <w:rPr>
          <w:color w:val="4A4A4A" w:themeColor="accent5" w:themeShade="BF"/>
          <w:sz w:val="24"/>
          <w:szCs w:val="24"/>
        </w:rPr>
        <w:t>Regular monitoring of the contribution requirements and security requirements;</w:t>
      </w:r>
    </w:p>
    <w:p w14:paraId="74E3D743" w14:textId="77777777" w:rsidR="00872580" w:rsidRPr="00054A7E" w:rsidRDefault="00872580" w:rsidP="002F7970">
      <w:pPr>
        <w:pStyle w:val="BulletHymans"/>
        <w:numPr>
          <w:ilvl w:val="0"/>
          <w:numId w:val="69"/>
        </w:numPr>
        <w:spacing w:line="240" w:lineRule="auto"/>
        <w:rPr>
          <w:color w:val="4A4A4A" w:themeColor="accent5" w:themeShade="BF"/>
          <w:sz w:val="24"/>
          <w:szCs w:val="24"/>
        </w:rPr>
      </w:pPr>
      <w:r w:rsidRPr="00054A7E">
        <w:rPr>
          <w:color w:val="4A4A4A" w:themeColor="accent5" w:themeShade="BF"/>
          <w:sz w:val="24"/>
          <w:szCs w:val="24"/>
        </w:rPr>
        <w:lastRenderedPageBreak/>
        <w:t>All costs of the arrangement are met by the Admission Body, such as the cost of advice to the Fund, ongoing monitoring of the arrangement, and correspondence on any ongoing contribution and security requirements.</w:t>
      </w:r>
    </w:p>
    <w:p w14:paraId="63C6143B" w14:textId="7DE193E3" w:rsidR="00872580" w:rsidRPr="00054A7E" w:rsidRDefault="00872580" w:rsidP="002F7970">
      <w:pPr>
        <w:pStyle w:val="BulletHymans"/>
        <w:rPr>
          <w:color w:val="4A4A4A" w:themeColor="accent5" w:themeShade="BF"/>
          <w:sz w:val="24"/>
          <w:szCs w:val="24"/>
        </w:rPr>
      </w:pPr>
      <w:r w:rsidRPr="00054A7E">
        <w:rPr>
          <w:color w:val="4A4A4A" w:themeColor="accent5" w:themeShade="BF"/>
          <w:sz w:val="24"/>
          <w:szCs w:val="24"/>
        </w:rPr>
        <w:t xml:space="preserve">A </w:t>
      </w:r>
      <w:r w:rsidR="00B309A0" w:rsidRPr="00054A7E">
        <w:rPr>
          <w:color w:val="4A4A4A" w:themeColor="accent5" w:themeShade="BF"/>
          <w:sz w:val="24"/>
          <w:szCs w:val="24"/>
        </w:rPr>
        <w:t>DDA</w:t>
      </w:r>
      <w:r w:rsidRPr="00054A7E">
        <w:rPr>
          <w:color w:val="4A4A4A" w:themeColor="accent5" w:themeShade="BF"/>
          <w:sz w:val="24"/>
          <w:szCs w:val="24"/>
        </w:rPr>
        <w:t xml:space="preserve"> will normally terminate on the first date on which one of the following events occurs:</w:t>
      </w:r>
    </w:p>
    <w:p w14:paraId="4103150B" w14:textId="77777777" w:rsidR="00872580" w:rsidRPr="00054A7E" w:rsidRDefault="00872580" w:rsidP="002F7970">
      <w:pPr>
        <w:pStyle w:val="BulletHymans"/>
        <w:numPr>
          <w:ilvl w:val="0"/>
          <w:numId w:val="68"/>
        </w:numPr>
        <w:rPr>
          <w:color w:val="4A4A4A" w:themeColor="accent5" w:themeShade="BF"/>
          <w:sz w:val="24"/>
          <w:szCs w:val="24"/>
        </w:rPr>
      </w:pPr>
      <w:r w:rsidRPr="00054A7E">
        <w:rPr>
          <w:color w:val="4A4A4A" w:themeColor="accent5" w:themeShade="BF"/>
          <w:sz w:val="24"/>
          <w:szCs w:val="24"/>
        </w:rPr>
        <w:t xml:space="preserve">the Admission Body enrols new active Fund members; </w:t>
      </w:r>
    </w:p>
    <w:p w14:paraId="2E4B1945" w14:textId="1E469861" w:rsidR="00872580" w:rsidRPr="00054A7E" w:rsidRDefault="00872580" w:rsidP="002F7970">
      <w:pPr>
        <w:pStyle w:val="BulletHymans"/>
        <w:numPr>
          <w:ilvl w:val="0"/>
          <w:numId w:val="68"/>
        </w:numPr>
        <w:spacing w:line="240" w:lineRule="auto"/>
        <w:rPr>
          <w:color w:val="4A4A4A" w:themeColor="accent5" w:themeShade="BF"/>
          <w:sz w:val="24"/>
          <w:szCs w:val="24"/>
        </w:rPr>
      </w:pPr>
      <w:r w:rsidRPr="00054A7E">
        <w:rPr>
          <w:color w:val="4A4A4A" w:themeColor="accent5" w:themeShade="BF"/>
          <w:sz w:val="24"/>
          <w:szCs w:val="24"/>
        </w:rPr>
        <w:t xml:space="preserve">the period specified, or as varied, under the </w:t>
      </w:r>
      <w:r w:rsidR="00B309A0" w:rsidRPr="00054A7E">
        <w:rPr>
          <w:color w:val="4A4A4A" w:themeColor="accent5" w:themeShade="BF"/>
          <w:sz w:val="24"/>
          <w:szCs w:val="24"/>
        </w:rPr>
        <w:t>DDA</w:t>
      </w:r>
      <w:r w:rsidRPr="00054A7E">
        <w:rPr>
          <w:color w:val="4A4A4A" w:themeColor="accent5" w:themeShade="BF"/>
          <w:sz w:val="24"/>
          <w:szCs w:val="24"/>
        </w:rPr>
        <w:t xml:space="preserve"> elapses; </w:t>
      </w:r>
    </w:p>
    <w:p w14:paraId="1215307B" w14:textId="77777777" w:rsidR="00872580" w:rsidRPr="00054A7E" w:rsidRDefault="00872580" w:rsidP="002F7970">
      <w:pPr>
        <w:pStyle w:val="BulletHymans"/>
        <w:numPr>
          <w:ilvl w:val="0"/>
          <w:numId w:val="68"/>
        </w:numPr>
        <w:spacing w:line="240" w:lineRule="auto"/>
        <w:rPr>
          <w:color w:val="4A4A4A" w:themeColor="accent5" w:themeShade="BF"/>
          <w:sz w:val="24"/>
          <w:szCs w:val="24"/>
        </w:rPr>
      </w:pPr>
      <w:r w:rsidRPr="00054A7E">
        <w:rPr>
          <w:color w:val="4A4A4A" w:themeColor="accent5" w:themeShade="BF"/>
          <w:sz w:val="24"/>
          <w:szCs w:val="24"/>
        </w:rPr>
        <w:t xml:space="preserve">the take-over, amalgamation, insolvency, winding up or liquidation of the Admission Body; </w:t>
      </w:r>
    </w:p>
    <w:p w14:paraId="51F18BF1" w14:textId="25509F8B" w:rsidR="00872580" w:rsidRPr="00054A7E" w:rsidRDefault="00872580" w:rsidP="002F7970">
      <w:pPr>
        <w:pStyle w:val="BulletHymans"/>
        <w:numPr>
          <w:ilvl w:val="0"/>
          <w:numId w:val="69"/>
        </w:numPr>
        <w:spacing w:line="240" w:lineRule="auto"/>
        <w:rPr>
          <w:color w:val="4A4A4A" w:themeColor="accent5" w:themeShade="BF"/>
          <w:sz w:val="24"/>
          <w:szCs w:val="24"/>
        </w:rPr>
      </w:pPr>
      <w:r w:rsidRPr="00054A7E">
        <w:rPr>
          <w:color w:val="4A4A4A" w:themeColor="accent5" w:themeShade="BF"/>
          <w:sz w:val="24"/>
          <w:szCs w:val="24"/>
        </w:rPr>
        <w:t xml:space="preserve">the Administering Authority serves a notice on the Admission Body that the Administering Authority is reasonably satisfied that the Admission Body’s ability to meet the contributions payable under the </w:t>
      </w:r>
      <w:r w:rsidR="00B309A0" w:rsidRPr="00054A7E">
        <w:rPr>
          <w:color w:val="4A4A4A" w:themeColor="accent5" w:themeShade="BF"/>
          <w:sz w:val="24"/>
          <w:szCs w:val="24"/>
        </w:rPr>
        <w:t>DDA</w:t>
      </w:r>
      <w:r w:rsidRPr="00054A7E">
        <w:rPr>
          <w:color w:val="4A4A4A" w:themeColor="accent5" w:themeShade="BF"/>
          <w:sz w:val="24"/>
          <w:szCs w:val="24"/>
        </w:rPr>
        <w:t xml:space="preserve"> has weakened materially or is likely to weaken materially in the next 12 months; </w:t>
      </w:r>
    </w:p>
    <w:p w14:paraId="3A926B4D" w14:textId="77777777" w:rsidR="00872580" w:rsidRPr="00054A7E" w:rsidRDefault="00872580" w:rsidP="002F7970">
      <w:pPr>
        <w:pStyle w:val="BulletHymans"/>
        <w:numPr>
          <w:ilvl w:val="0"/>
          <w:numId w:val="69"/>
        </w:numPr>
        <w:spacing w:line="240" w:lineRule="auto"/>
        <w:rPr>
          <w:color w:val="4A4A4A" w:themeColor="accent5" w:themeShade="BF"/>
          <w:sz w:val="24"/>
          <w:szCs w:val="24"/>
        </w:rPr>
      </w:pPr>
      <w:r w:rsidRPr="00054A7E">
        <w:rPr>
          <w:color w:val="4A4A4A" w:themeColor="accent5" w:themeShade="BF"/>
          <w:sz w:val="24"/>
          <w:szCs w:val="24"/>
        </w:rPr>
        <w:t xml:space="preserve">the Fund actuary assesses that the Admission Body has paid sufficient secondary contributions to cover all (or almost all) of the exit payment due if the employer becomes an exiting employer on the calculation date (i.e. Admission Body is now largely fully funded on their cessation basis); </w:t>
      </w:r>
    </w:p>
    <w:p w14:paraId="1E2B3F25" w14:textId="77777777" w:rsidR="00872580" w:rsidRPr="00054A7E" w:rsidRDefault="00872580" w:rsidP="002F7970">
      <w:pPr>
        <w:pStyle w:val="BulletHymans"/>
        <w:numPr>
          <w:ilvl w:val="0"/>
          <w:numId w:val="69"/>
        </w:numPr>
        <w:spacing w:line="240" w:lineRule="auto"/>
        <w:rPr>
          <w:color w:val="4A4A4A" w:themeColor="accent5" w:themeShade="BF"/>
          <w:sz w:val="24"/>
          <w:szCs w:val="24"/>
        </w:rPr>
      </w:pPr>
      <w:r w:rsidRPr="00054A7E">
        <w:rPr>
          <w:color w:val="4A4A4A" w:themeColor="accent5" w:themeShade="BF"/>
          <w:sz w:val="24"/>
          <w:szCs w:val="24"/>
        </w:rPr>
        <w:t>the Fund actuary assesses that the Admission Body’s value of liabilities has fallen below an agreed de minimis level, if the employer becomes an exiting employer on the calculation date; or</w:t>
      </w:r>
    </w:p>
    <w:p w14:paraId="7C221D91" w14:textId="6230E802" w:rsidR="00872580" w:rsidRPr="00054A7E" w:rsidRDefault="00872580" w:rsidP="002F7970">
      <w:pPr>
        <w:pStyle w:val="BulletHymans"/>
        <w:numPr>
          <w:ilvl w:val="0"/>
          <w:numId w:val="68"/>
        </w:numPr>
        <w:spacing w:line="240" w:lineRule="auto"/>
        <w:rPr>
          <w:color w:val="4A4A4A" w:themeColor="accent5" w:themeShade="BF"/>
          <w:sz w:val="24"/>
          <w:szCs w:val="24"/>
        </w:rPr>
      </w:pPr>
      <w:r w:rsidRPr="00054A7E">
        <w:rPr>
          <w:color w:val="4A4A4A" w:themeColor="accent5" w:themeShade="BF"/>
          <w:sz w:val="24"/>
          <w:szCs w:val="24"/>
        </w:rPr>
        <w:t xml:space="preserve">The Admission Body requests early termination of the </w:t>
      </w:r>
      <w:r w:rsidR="005A2ECE" w:rsidRPr="00054A7E">
        <w:rPr>
          <w:color w:val="4A4A4A" w:themeColor="accent5" w:themeShade="BF"/>
          <w:sz w:val="24"/>
          <w:szCs w:val="24"/>
        </w:rPr>
        <w:t>DDA</w:t>
      </w:r>
      <w:r w:rsidRPr="00054A7E">
        <w:rPr>
          <w:color w:val="4A4A4A" w:themeColor="accent5" w:themeShade="BF"/>
          <w:sz w:val="24"/>
          <w:szCs w:val="24"/>
        </w:rPr>
        <w:t xml:space="preserve"> and settles the exit payment in full as calculated by the Fund actuary on the calculation date (i.e. the Admission Body pays their outstanding cessation debt on their cessation basis).</w:t>
      </w:r>
    </w:p>
    <w:p w14:paraId="0290A4A3" w14:textId="2DB10CEF" w:rsidR="00872580" w:rsidRPr="00054A7E" w:rsidRDefault="00872580">
      <w:pPr>
        <w:pStyle w:val="BodyTextGrey"/>
        <w:rPr>
          <w:color w:val="4A4A4A" w:themeColor="accent5" w:themeShade="BF"/>
          <w:sz w:val="24"/>
          <w:szCs w:val="24"/>
        </w:rPr>
      </w:pPr>
      <w:r w:rsidRPr="00054A7E">
        <w:rPr>
          <w:color w:val="4A4A4A" w:themeColor="accent5" w:themeShade="BF"/>
          <w:sz w:val="24"/>
          <w:szCs w:val="24"/>
        </w:rPr>
        <w:t xml:space="preserve">On the termination of a </w:t>
      </w:r>
      <w:r w:rsidR="005A2ECE" w:rsidRPr="00054A7E">
        <w:rPr>
          <w:color w:val="4A4A4A" w:themeColor="accent5" w:themeShade="BF"/>
          <w:sz w:val="24"/>
          <w:szCs w:val="24"/>
        </w:rPr>
        <w:t>DDA</w:t>
      </w:r>
      <w:r w:rsidRPr="00054A7E">
        <w:rPr>
          <w:color w:val="4A4A4A" w:themeColor="accent5" w:themeShade="BF"/>
          <w:sz w:val="24"/>
          <w:szCs w:val="24"/>
        </w:rPr>
        <w:t>, the Admission Body will become an exiting employer and a cessation valuation will be completed in line with this FSS.</w:t>
      </w:r>
    </w:p>
    <w:p w14:paraId="19FC1EF5" w14:textId="77777777" w:rsidR="00BA6376" w:rsidRPr="00054A7E" w:rsidRDefault="00B442EC" w:rsidP="00B442EC">
      <w:pPr>
        <w:pStyle w:val="Heading2Num"/>
        <w:rPr>
          <w:sz w:val="24"/>
          <w:szCs w:val="24"/>
        </w:rPr>
      </w:pPr>
      <w:bookmarkStart w:id="27" w:name="PooledContributions3_4"/>
      <w:r w:rsidRPr="00054A7E">
        <w:rPr>
          <w:sz w:val="24"/>
          <w:szCs w:val="24"/>
        </w:rPr>
        <w:t>Pooled contributions</w:t>
      </w:r>
    </w:p>
    <w:bookmarkEnd w:id="27"/>
    <w:p w14:paraId="783C5F03" w14:textId="77777777" w:rsidR="004A402B" w:rsidRPr="00416A92" w:rsidRDefault="004A402B" w:rsidP="004A402B">
      <w:pPr>
        <w:pStyle w:val="BodyTextGrey"/>
        <w:rPr>
          <w:sz w:val="24"/>
          <w:szCs w:val="24"/>
          <w:highlight w:val="yellow"/>
        </w:rPr>
      </w:pPr>
      <w:r w:rsidRPr="00054A7E">
        <w:rPr>
          <w:sz w:val="24"/>
          <w:szCs w:val="24"/>
        </w:rPr>
        <w:t>From time to time</w:t>
      </w:r>
      <w:r w:rsidR="00671FC6" w:rsidRPr="00054A7E">
        <w:rPr>
          <w:sz w:val="24"/>
          <w:szCs w:val="24"/>
        </w:rPr>
        <w:t>,</w:t>
      </w:r>
      <w:r w:rsidRPr="00054A7E">
        <w:rPr>
          <w:sz w:val="24"/>
          <w:szCs w:val="24"/>
        </w:rPr>
        <w:t xml:space="preserve"> </w:t>
      </w:r>
      <w:r w:rsidR="00671FC6" w:rsidRPr="00054A7E">
        <w:rPr>
          <w:sz w:val="24"/>
          <w:szCs w:val="24"/>
        </w:rPr>
        <w:t>with the advice of the Actuary,</w:t>
      </w:r>
      <w:r w:rsidR="00F36C2D" w:rsidRPr="00054A7E">
        <w:rPr>
          <w:sz w:val="24"/>
          <w:szCs w:val="24"/>
        </w:rPr>
        <w:t xml:space="preserve"> </w:t>
      </w:r>
      <w:r w:rsidRPr="00054A7E">
        <w:rPr>
          <w:sz w:val="24"/>
          <w:szCs w:val="24"/>
        </w:rPr>
        <w:t xml:space="preserve">the Administering Authority may set up pools for employers with similar </w:t>
      </w:r>
      <w:r w:rsidR="00671FC6" w:rsidRPr="00054A7E">
        <w:rPr>
          <w:sz w:val="24"/>
          <w:szCs w:val="24"/>
        </w:rPr>
        <w:t xml:space="preserve">or complementary </w:t>
      </w:r>
      <w:r w:rsidRPr="00054A7E">
        <w:rPr>
          <w:sz w:val="24"/>
          <w:szCs w:val="24"/>
        </w:rPr>
        <w:t xml:space="preserve">characteristics. </w:t>
      </w:r>
      <w:r w:rsidR="0020529A" w:rsidRPr="00054A7E">
        <w:rPr>
          <w:sz w:val="24"/>
          <w:szCs w:val="24"/>
        </w:rPr>
        <w:t xml:space="preserve"> </w:t>
      </w:r>
      <w:r w:rsidRPr="00054A7E">
        <w:rPr>
          <w:sz w:val="24"/>
          <w:szCs w:val="24"/>
        </w:rPr>
        <w:t>This will always be in line with its broader funding strategy.</w:t>
      </w:r>
      <w:r w:rsidR="00671FC6" w:rsidRPr="00054A7E">
        <w:rPr>
          <w:sz w:val="24"/>
          <w:szCs w:val="24"/>
        </w:rPr>
        <w:t xml:space="preserve"> The current pool</w:t>
      </w:r>
      <w:r w:rsidR="00671FC6" w:rsidRPr="00416A92">
        <w:rPr>
          <w:sz w:val="24"/>
          <w:szCs w:val="24"/>
        </w:rPr>
        <w:t xml:space="preserve">s in place </w:t>
      </w:r>
      <w:r w:rsidR="00F36C2D" w:rsidRPr="00416A92">
        <w:rPr>
          <w:sz w:val="24"/>
          <w:szCs w:val="24"/>
        </w:rPr>
        <w:t>with</w:t>
      </w:r>
      <w:r w:rsidR="00671FC6" w:rsidRPr="00416A92">
        <w:rPr>
          <w:sz w:val="24"/>
          <w:szCs w:val="24"/>
        </w:rPr>
        <w:t>in the Fund are as follows:</w:t>
      </w:r>
    </w:p>
    <w:p w14:paraId="6770AD56" w14:textId="4FCD57A4" w:rsidR="00671FC6" w:rsidRPr="00416A92" w:rsidRDefault="00671FC6" w:rsidP="00C728B0">
      <w:pPr>
        <w:pStyle w:val="BodyTextGrey"/>
        <w:numPr>
          <w:ilvl w:val="0"/>
          <w:numId w:val="22"/>
        </w:numPr>
        <w:rPr>
          <w:sz w:val="24"/>
          <w:szCs w:val="24"/>
        </w:rPr>
      </w:pPr>
      <w:r w:rsidRPr="00416A92">
        <w:rPr>
          <w:sz w:val="24"/>
          <w:szCs w:val="24"/>
        </w:rPr>
        <w:t>Schools gener</w:t>
      </w:r>
      <w:r w:rsidR="006F6ECC" w:rsidRPr="00416A92">
        <w:rPr>
          <w:sz w:val="24"/>
          <w:szCs w:val="24"/>
        </w:rPr>
        <w:t xml:space="preserve">ally are pooled with the </w:t>
      </w:r>
      <w:r w:rsidRPr="00416A92">
        <w:rPr>
          <w:sz w:val="24"/>
          <w:szCs w:val="24"/>
        </w:rPr>
        <w:t>Council.  However there may be exceptions for specialist or independent schools.</w:t>
      </w:r>
    </w:p>
    <w:p w14:paraId="6F22DCE4" w14:textId="1BF55C3E" w:rsidR="005F1F5E" w:rsidRPr="00416A92" w:rsidRDefault="00B442EC" w:rsidP="005F1F5E">
      <w:pPr>
        <w:pStyle w:val="BodyTextGrey"/>
        <w:numPr>
          <w:ilvl w:val="0"/>
          <w:numId w:val="22"/>
        </w:numPr>
        <w:rPr>
          <w:sz w:val="24"/>
          <w:szCs w:val="24"/>
        </w:rPr>
      </w:pPr>
      <w:r w:rsidRPr="00416A92">
        <w:rPr>
          <w:sz w:val="24"/>
          <w:szCs w:val="24"/>
        </w:rPr>
        <w:t xml:space="preserve">Smaller </w:t>
      </w:r>
      <w:r w:rsidR="00671FC6" w:rsidRPr="00416A92">
        <w:rPr>
          <w:sz w:val="24"/>
          <w:szCs w:val="24"/>
        </w:rPr>
        <w:t xml:space="preserve">Transferee Admission Bodies </w:t>
      </w:r>
      <w:r w:rsidRPr="00416A92">
        <w:rPr>
          <w:sz w:val="24"/>
          <w:szCs w:val="24"/>
        </w:rPr>
        <w:t>may be pooled with the letting employer, provided all parties (particularly the letting employer) agree.</w:t>
      </w:r>
    </w:p>
    <w:p w14:paraId="139ADF86" w14:textId="77777777" w:rsidR="005F1F5E" w:rsidRPr="00416A92" w:rsidRDefault="005F1F5E" w:rsidP="00416A92">
      <w:pPr>
        <w:pStyle w:val="BodyTextGrey"/>
        <w:rPr>
          <w:sz w:val="24"/>
          <w:szCs w:val="24"/>
        </w:rPr>
      </w:pPr>
      <w:r w:rsidRPr="00416A92">
        <w:rPr>
          <w:sz w:val="24"/>
          <w:szCs w:val="24"/>
        </w:rPr>
        <w:t>The intention of the pool is to minimise contribution rate volatility which would otherwise occur when members join, leave, take early retirement, receive pay rises markedly different from expectations, etc. Such events can cause large changes in contribution rates for very small employers in particular, unless these are smoothed out for instance by pooling across a number of employers.</w:t>
      </w:r>
    </w:p>
    <w:p w14:paraId="377DC10A" w14:textId="77777777" w:rsidR="005F1F5E" w:rsidRPr="00416A92" w:rsidRDefault="005F1F5E" w:rsidP="00416A92">
      <w:pPr>
        <w:pStyle w:val="BodyTextGrey"/>
        <w:rPr>
          <w:sz w:val="24"/>
          <w:szCs w:val="24"/>
        </w:rPr>
      </w:pPr>
      <w:r w:rsidRPr="00416A92">
        <w:rPr>
          <w:sz w:val="24"/>
          <w:szCs w:val="24"/>
        </w:rPr>
        <w:t xml:space="preserve">On the other hand it should be noted that the employers in the pool will still have their own individual funding positions tracked by the Actuary, so that some employers will be much better funded, and others much more poorly funded, than the pool average. This therefore </w:t>
      </w:r>
      <w:r w:rsidRPr="00416A92">
        <w:rPr>
          <w:sz w:val="24"/>
          <w:szCs w:val="24"/>
        </w:rPr>
        <w:lastRenderedPageBreak/>
        <w:t>means that if any given employer was funding on a stand-alone basis, as opposed to being in the pool, then its contribution rate could be much higher or lower than the pool contribution rate.</w:t>
      </w:r>
    </w:p>
    <w:p w14:paraId="6E6380A9" w14:textId="77777777" w:rsidR="005F1F5E" w:rsidRPr="00416A92" w:rsidRDefault="005F1F5E" w:rsidP="00416A92">
      <w:pPr>
        <w:pStyle w:val="BodyTextGrey"/>
        <w:rPr>
          <w:sz w:val="24"/>
          <w:szCs w:val="24"/>
        </w:rPr>
      </w:pPr>
      <w:r w:rsidRPr="00416A92">
        <w:rPr>
          <w:sz w:val="24"/>
          <w:szCs w:val="24"/>
        </w:rPr>
        <w:t>It should also be noted that, if an employer is considering ceasing from the Fund, its required contributions would be based on its own funding position (rather than the pool average), and the cessation terms would also apply: this would mean potentially very different (and in particular possibly much higher) contributions would be required from the employer in that situation.</w:t>
      </w:r>
    </w:p>
    <w:p w14:paraId="44657EBA" w14:textId="77777777" w:rsidR="00671FC6" w:rsidRPr="00416A92" w:rsidRDefault="00671FC6" w:rsidP="00B442EC">
      <w:pPr>
        <w:pStyle w:val="BodyTextGrey"/>
        <w:rPr>
          <w:sz w:val="24"/>
          <w:szCs w:val="24"/>
        </w:rPr>
      </w:pPr>
      <w:r w:rsidRPr="00416A92">
        <w:rPr>
          <w:sz w:val="24"/>
          <w:szCs w:val="24"/>
        </w:rPr>
        <w:t>Those employers which have been pooled are identified in the Rates and Adjustments Certificate.</w:t>
      </w:r>
    </w:p>
    <w:p w14:paraId="04BB723A" w14:textId="5030FAFC" w:rsidR="00B442EC" w:rsidRPr="00416A92" w:rsidRDefault="00B442EC" w:rsidP="00B442EC">
      <w:pPr>
        <w:pStyle w:val="BodyTextGrey"/>
        <w:rPr>
          <w:sz w:val="24"/>
          <w:szCs w:val="24"/>
        </w:rPr>
      </w:pPr>
      <w:r w:rsidRPr="00416A92">
        <w:rPr>
          <w:sz w:val="24"/>
          <w:szCs w:val="24"/>
        </w:rPr>
        <w:t xml:space="preserve">Employers who are permitted to enter (or remain in) a pool at the </w:t>
      </w:r>
      <w:r w:rsidR="005F1F5E" w:rsidRPr="00416A92">
        <w:rPr>
          <w:sz w:val="24"/>
          <w:szCs w:val="24"/>
        </w:rPr>
        <w:t xml:space="preserve">2019 </w:t>
      </w:r>
      <w:r w:rsidRPr="00416A92">
        <w:rPr>
          <w:sz w:val="24"/>
          <w:szCs w:val="24"/>
        </w:rPr>
        <w:t>valuation will not normally be advised of their individual contribution rate unless agreed by the Administering Authority.</w:t>
      </w:r>
    </w:p>
    <w:p w14:paraId="460A4E8F" w14:textId="57FB76F2" w:rsidR="00B442EC" w:rsidRPr="00416A92" w:rsidRDefault="00671FC6" w:rsidP="00B442EC">
      <w:pPr>
        <w:pStyle w:val="BodyTextGrey"/>
        <w:rPr>
          <w:sz w:val="24"/>
          <w:szCs w:val="24"/>
        </w:rPr>
      </w:pPr>
      <w:r w:rsidRPr="00416A92">
        <w:rPr>
          <w:sz w:val="24"/>
          <w:szCs w:val="24"/>
        </w:rPr>
        <w:t xml:space="preserve">Community Admission Bodies that are deemed by the Administering Authority to have closed to new entrants are not usually permitted to participate in a pool. </w:t>
      </w:r>
      <w:r w:rsidRPr="00416A92">
        <w:rPr>
          <w:sz w:val="24"/>
          <w:szCs w:val="24"/>
          <w:highlight w:val="yellow"/>
        </w:rPr>
        <w:t xml:space="preserve"> </w:t>
      </w:r>
    </w:p>
    <w:p w14:paraId="14749CF8" w14:textId="77777777" w:rsidR="00B442EC" w:rsidRPr="00416A92" w:rsidRDefault="00B442EC" w:rsidP="00B442EC">
      <w:pPr>
        <w:pStyle w:val="Heading2Num"/>
        <w:rPr>
          <w:sz w:val="24"/>
          <w:szCs w:val="24"/>
        </w:rPr>
      </w:pPr>
      <w:r w:rsidRPr="00416A92">
        <w:rPr>
          <w:sz w:val="24"/>
          <w:szCs w:val="24"/>
        </w:rPr>
        <w:t>Additional flexibility in return for added security</w:t>
      </w:r>
    </w:p>
    <w:p w14:paraId="58B6817A" w14:textId="77777777" w:rsidR="00B442EC" w:rsidRPr="00416A92" w:rsidRDefault="00B442EC" w:rsidP="00F34D49">
      <w:pPr>
        <w:pStyle w:val="BodyTextGrey"/>
        <w:rPr>
          <w:sz w:val="24"/>
          <w:szCs w:val="24"/>
        </w:rPr>
      </w:pPr>
      <w:r w:rsidRPr="00416A92">
        <w:rPr>
          <w:sz w:val="24"/>
          <w:szCs w:val="24"/>
        </w:rPr>
        <w:t xml:space="preserve">The Administering Authority may permit greater flexibility to the employer’s contributions if the employer provides added security to the satisfaction of the Administering Authority.  </w:t>
      </w:r>
    </w:p>
    <w:p w14:paraId="6C9205AD" w14:textId="080BE5A0" w:rsidR="00B442EC" w:rsidRPr="00416A92" w:rsidRDefault="00B442EC" w:rsidP="00F34D49">
      <w:pPr>
        <w:pStyle w:val="BodyTextGrey"/>
        <w:rPr>
          <w:sz w:val="24"/>
          <w:szCs w:val="24"/>
        </w:rPr>
      </w:pPr>
      <w:r w:rsidRPr="00416A92">
        <w:rPr>
          <w:sz w:val="24"/>
          <w:szCs w:val="24"/>
        </w:rPr>
        <w:t xml:space="preserve">Such flexibility includes a reduced rate of contribution, an extended </w:t>
      </w:r>
      <w:r w:rsidR="00F36C2D" w:rsidRPr="00416A92">
        <w:rPr>
          <w:sz w:val="24"/>
          <w:szCs w:val="24"/>
        </w:rPr>
        <w:t>time horizon</w:t>
      </w:r>
      <w:r w:rsidRPr="00416A92">
        <w:rPr>
          <w:sz w:val="24"/>
          <w:szCs w:val="24"/>
        </w:rPr>
        <w:t>, or permission to join a pool with another body (</w:t>
      </w:r>
      <w:r w:rsidR="00F34D49" w:rsidRPr="00416A92">
        <w:rPr>
          <w:sz w:val="24"/>
          <w:szCs w:val="24"/>
        </w:rPr>
        <w:t>e.g.</w:t>
      </w:r>
      <w:r w:rsidRPr="00416A92">
        <w:rPr>
          <w:sz w:val="24"/>
          <w:szCs w:val="24"/>
        </w:rPr>
        <w:t xml:space="preserve"> the Local Authority). </w:t>
      </w:r>
    </w:p>
    <w:p w14:paraId="38F0AE51" w14:textId="77777777" w:rsidR="00B442EC" w:rsidRPr="00416A92" w:rsidRDefault="00B442EC" w:rsidP="00F34D49">
      <w:pPr>
        <w:pStyle w:val="BodyTextGrey"/>
        <w:rPr>
          <w:sz w:val="24"/>
          <w:szCs w:val="24"/>
        </w:rPr>
      </w:pPr>
      <w:r w:rsidRPr="00416A92">
        <w:rPr>
          <w:sz w:val="24"/>
          <w:szCs w:val="24"/>
        </w:rPr>
        <w:t>Such security may include, but is not limited to, a suitable bond, a legally-binding guarantee from an appropriate third party, or security over an employer asset of sufficient value.</w:t>
      </w:r>
    </w:p>
    <w:p w14:paraId="045C25A2" w14:textId="26B9E2C1" w:rsidR="00B442EC" w:rsidRPr="00416A92" w:rsidRDefault="00B442EC" w:rsidP="00F34D49">
      <w:pPr>
        <w:pStyle w:val="BodyTextGrey"/>
        <w:rPr>
          <w:sz w:val="24"/>
          <w:szCs w:val="24"/>
        </w:rPr>
      </w:pPr>
      <w:r w:rsidRPr="00416A92">
        <w:rPr>
          <w:sz w:val="24"/>
          <w:szCs w:val="24"/>
        </w:rPr>
        <w:t>The degree of flexibility given may take into account factors such as:</w:t>
      </w:r>
    </w:p>
    <w:p w14:paraId="5E1C60E9" w14:textId="77777777" w:rsidR="00B442EC" w:rsidRPr="00416A92" w:rsidRDefault="00B442EC" w:rsidP="00813305">
      <w:pPr>
        <w:pStyle w:val="BulletHymans"/>
        <w:numPr>
          <w:ilvl w:val="0"/>
          <w:numId w:val="45"/>
        </w:numPr>
        <w:ind w:left="567" w:hanging="567"/>
        <w:rPr>
          <w:sz w:val="24"/>
          <w:szCs w:val="24"/>
        </w:rPr>
      </w:pPr>
      <w:r w:rsidRPr="00416A92">
        <w:rPr>
          <w:sz w:val="24"/>
          <w:szCs w:val="24"/>
        </w:rPr>
        <w:t>the extent of the employer’s deficit;</w:t>
      </w:r>
    </w:p>
    <w:p w14:paraId="01BEB92B" w14:textId="77777777" w:rsidR="00B442EC" w:rsidRPr="00416A92" w:rsidRDefault="00B442EC" w:rsidP="00813305">
      <w:pPr>
        <w:pStyle w:val="BulletHymans"/>
        <w:numPr>
          <w:ilvl w:val="0"/>
          <w:numId w:val="45"/>
        </w:numPr>
        <w:ind w:left="567" w:hanging="567"/>
        <w:rPr>
          <w:sz w:val="24"/>
          <w:szCs w:val="24"/>
        </w:rPr>
      </w:pPr>
      <w:r w:rsidRPr="00416A92">
        <w:rPr>
          <w:sz w:val="24"/>
          <w:szCs w:val="24"/>
        </w:rPr>
        <w:t>the amount and quality of the security offered;</w:t>
      </w:r>
    </w:p>
    <w:p w14:paraId="0CD25707" w14:textId="5FE0DED6" w:rsidR="00B442EC" w:rsidRPr="00416A92" w:rsidRDefault="00B442EC" w:rsidP="00813305">
      <w:pPr>
        <w:pStyle w:val="BulletHymans"/>
        <w:numPr>
          <w:ilvl w:val="0"/>
          <w:numId w:val="45"/>
        </w:numPr>
        <w:ind w:left="567" w:hanging="567"/>
        <w:rPr>
          <w:sz w:val="24"/>
          <w:szCs w:val="24"/>
        </w:rPr>
      </w:pPr>
      <w:r w:rsidRPr="00416A92">
        <w:rPr>
          <w:sz w:val="24"/>
          <w:szCs w:val="24"/>
        </w:rPr>
        <w:t>the employer’s financial security and business plan;</w:t>
      </w:r>
      <w:r w:rsidR="00283E56" w:rsidRPr="00416A92">
        <w:rPr>
          <w:sz w:val="24"/>
          <w:szCs w:val="24"/>
        </w:rPr>
        <w:t xml:space="preserve"> and</w:t>
      </w:r>
      <w:r w:rsidRPr="00416A92">
        <w:rPr>
          <w:sz w:val="24"/>
          <w:szCs w:val="24"/>
        </w:rPr>
        <w:t xml:space="preserve"> </w:t>
      </w:r>
    </w:p>
    <w:p w14:paraId="7C61680E" w14:textId="77777777" w:rsidR="00B442EC" w:rsidRPr="00416A92" w:rsidRDefault="00B442EC" w:rsidP="00813305">
      <w:pPr>
        <w:pStyle w:val="BulletHymans"/>
        <w:numPr>
          <w:ilvl w:val="0"/>
          <w:numId w:val="45"/>
        </w:numPr>
        <w:ind w:left="567" w:hanging="567"/>
        <w:rPr>
          <w:sz w:val="24"/>
          <w:szCs w:val="24"/>
        </w:rPr>
      </w:pPr>
      <w:r w:rsidRPr="00416A92">
        <w:rPr>
          <w:sz w:val="24"/>
          <w:szCs w:val="24"/>
        </w:rPr>
        <w:t>whether the admission agreement is likely to be open or closed to new entrants.</w:t>
      </w:r>
    </w:p>
    <w:p w14:paraId="3FE1E0FB" w14:textId="7FD65851" w:rsidR="00F34D49" w:rsidRPr="00416A92" w:rsidRDefault="00F34D49" w:rsidP="00F34D49">
      <w:pPr>
        <w:pStyle w:val="Heading2Num"/>
        <w:rPr>
          <w:sz w:val="24"/>
          <w:szCs w:val="24"/>
        </w:rPr>
      </w:pPr>
      <w:bookmarkStart w:id="28" w:name="NonIllHealthEarlyRetirmentCosts3_6"/>
      <w:r w:rsidRPr="00416A92">
        <w:rPr>
          <w:sz w:val="24"/>
          <w:szCs w:val="24"/>
        </w:rPr>
        <w:t>Non ill health early retirement costs</w:t>
      </w:r>
      <w:bookmarkEnd w:id="28"/>
    </w:p>
    <w:p w14:paraId="5780CA22" w14:textId="77777777" w:rsidR="008F3FB2" w:rsidRPr="00416A92" w:rsidRDefault="004A402B" w:rsidP="008F3FB2">
      <w:pPr>
        <w:pStyle w:val="BodyTextGrey"/>
        <w:rPr>
          <w:sz w:val="24"/>
          <w:szCs w:val="24"/>
        </w:rPr>
      </w:pPr>
      <w:r w:rsidRPr="00416A92">
        <w:rPr>
          <w:sz w:val="24"/>
          <w:szCs w:val="24"/>
        </w:rPr>
        <w:t>It is assumed that members’ benefits are payable from the earliest age that the employee could retire without incurring a reduction to their benefit (and without requiring their employer’s consent to retire).</w:t>
      </w:r>
      <w:r w:rsidR="00D508BD" w:rsidRPr="00416A92">
        <w:rPr>
          <w:sz w:val="24"/>
          <w:szCs w:val="24"/>
        </w:rPr>
        <w:t xml:space="preserve"> </w:t>
      </w:r>
      <w:r w:rsidRPr="00416A92">
        <w:rPr>
          <w:sz w:val="24"/>
          <w:szCs w:val="24"/>
        </w:rPr>
        <w:t xml:space="preserve"> (</w:t>
      </w:r>
      <w:r w:rsidRPr="00416A92">
        <w:rPr>
          <w:b/>
          <w:sz w:val="24"/>
          <w:szCs w:val="24"/>
        </w:rPr>
        <w:t>NB</w:t>
      </w:r>
      <w:r w:rsidRPr="00416A92">
        <w:rPr>
          <w:sz w:val="24"/>
          <w:szCs w:val="24"/>
        </w:rPr>
        <w:t xml:space="preserve"> the relevant age may be different for different periods of service, following the benefit changes from April 2008 and April 2014).</w:t>
      </w:r>
      <w:r w:rsidR="00D508BD" w:rsidRPr="00416A92">
        <w:rPr>
          <w:sz w:val="24"/>
          <w:szCs w:val="24"/>
        </w:rPr>
        <w:t xml:space="preserve"> </w:t>
      </w:r>
      <w:r w:rsidRPr="00416A92">
        <w:rPr>
          <w:sz w:val="24"/>
          <w:szCs w:val="24"/>
        </w:rPr>
        <w:t xml:space="preserve"> Employers are required to pay additional contributions (‘strain’) wherever an employee retires before attaining this age. </w:t>
      </w:r>
      <w:r w:rsidR="00D508BD" w:rsidRPr="00416A92">
        <w:rPr>
          <w:sz w:val="24"/>
          <w:szCs w:val="24"/>
        </w:rPr>
        <w:t xml:space="preserve"> </w:t>
      </w:r>
      <w:r w:rsidR="008F3FB2" w:rsidRPr="00416A92">
        <w:rPr>
          <w:sz w:val="24"/>
          <w:szCs w:val="24"/>
        </w:rPr>
        <w:t xml:space="preserve">The actuary’s funding basis makes no allowance for premature retirement except on grounds of ill-health.     </w:t>
      </w:r>
    </w:p>
    <w:p w14:paraId="02D7691A" w14:textId="77777777" w:rsidR="008F3FB2" w:rsidRPr="00416A92" w:rsidRDefault="008F3FB2" w:rsidP="008F3FB2">
      <w:pPr>
        <w:pStyle w:val="BodyTextGrey"/>
        <w:rPr>
          <w:sz w:val="24"/>
          <w:szCs w:val="24"/>
        </w:rPr>
      </w:pPr>
      <w:r w:rsidRPr="00416A92">
        <w:rPr>
          <w:sz w:val="24"/>
          <w:szCs w:val="24"/>
        </w:rPr>
        <w:t>With the agreement of the Administering Authority the payment can be spread as follows:</w:t>
      </w:r>
    </w:p>
    <w:p w14:paraId="1CE7A965" w14:textId="49EEB1B3" w:rsidR="008F3FB2" w:rsidRPr="00416A92" w:rsidRDefault="00813305" w:rsidP="008F3FB2">
      <w:pPr>
        <w:pStyle w:val="BodyTextGrey"/>
        <w:rPr>
          <w:sz w:val="24"/>
          <w:szCs w:val="24"/>
        </w:rPr>
      </w:pPr>
      <w:r w:rsidRPr="00416A92">
        <w:rPr>
          <w:sz w:val="24"/>
          <w:szCs w:val="24"/>
        </w:rPr>
        <w:t>Council</w:t>
      </w:r>
      <w:r w:rsidRPr="00416A92">
        <w:rPr>
          <w:sz w:val="24"/>
          <w:szCs w:val="24"/>
        </w:rPr>
        <w:tab/>
      </w:r>
      <w:r w:rsidRPr="00416A92">
        <w:rPr>
          <w:sz w:val="24"/>
          <w:szCs w:val="24"/>
        </w:rPr>
        <w:tab/>
      </w:r>
      <w:r w:rsidRPr="00416A92">
        <w:rPr>
          <w:sz w:val="24"/>
          <w:szCs w:val="24"/>
        </w:rPr>
        <w:tab/>
      </w:r>
      <w:r w:rsidR="008F3FB2" w:rsidRPr="00416A92">
        <w:rPr>
          <w:sz w:val="24"/>
          <w:szCs w:val="24"/>
        </w:rPr>
        <w:t xml:space="preserve"> </w:t>
      </w:r>
      <w:r w:rsidR="008F3FB2" w:rsidRPr="00416A92">
        <w:rPr>
          <w:sz w:val="24"/>
          <w:szCs w:val="24"/>
        </w:rPr>
        <w:tab/>
      </w:r>
      <w:r w:rsidR="00F83F3E" w:rsidRPr="00416A92">
        <w:rPr>
          <w:sz w:val="24"/>
          <w:szCs w:val="24"/>
        </w:rPr>
        <w:tab/>
      </w:r>
      <w:r w:rsidR="00F83F3E" w:rsidRPr="00416A92">
        <w:rPr>
          <w:sz w:val="24"/>
          <w:szCs w:val="24"/>
        </w:rPr>
        <w:tab/>
      </w:r>
      <w:r w:rsidR="00F83F3E" w:rsidRPr="00416A92">
        <w:rPr>
          <w:sz w:val="24"/>
          <w:szCs w:val="24"/>
        </w:rPr>
        <w:tab/>
      </w:r>
      <w:r w:rsidR="00F83F3E" w:rsidRPr="00416A92">
        <w:rPr>
          <w:sz w:val="24"/>
          <w:szCs w:val="24"/>
        </w:rPr>
        <w:tab/>
      </w:r>
      <w:r w:rsidR="008F3FB2" w:rsidRPr="00416A92">
        <w:rPr>
          <w:sz w:val="24"/>
          <w:szCs w:val="24"/>
        </w:rPr>
        <w:t>- up to 5 years</w:t>
      </w:r>
    </w:p>
    <w:p w14:paraId="7E5A3BD7" w14:textId="77777777" w:rsidR="008F3FB2" w:rsidRPr="00416A92" w:rsidRDefault="00AB6083" w:rsidP="008F3FB2">
      <w:pPr>
        <w:pStyle w:val="BodyTextGrey"/>
        <w:rPr>
          <w:sz w:val="24"/>
          <w:szCs w:val="24"/>
        </w:rPr>
      </w:pPr>
      <w:r w:rsidRPr="00416A92">
        <w:rPr>
          <w:sz w:val="24"/>
          <w:szCs w:val="24"/>
        </w:rPr>
        <w:t>Community Admission Bodies</w:t>
      </w:r>
      <w:r w:rsidR="00F83F3E" w:rsidRPr="00416A92">
        <w:rPr>
          <w:sz w:val="24"/>
          <w:szCs w:val="24"/>
        </w:rPr>
        <w:t xml:space="preserve"> and Designating Employers</w:t>
      </w:r>
      <w:r w:rsidRPr="00416A92">
        <w:rPr>
          <w:sz w:val="24"/>
          <w:szCs w:val="24"/>
        </w:rPr>
        <w:t xml:space="preserve"> </w:t>
      </w:r>
      <w:r w:rsidR="008F3FB2" w:rsidRPr="00416A92">
        <w:rPr>
          <w:sz w:val="24"/>
          <w:szCs w:val="24"/>
        </w:rPr>
        <w:tab/>
        <w:t>- up to 3 years</w:t>
      </w:r>
    </w:p>
    <w:p w14:paraId="66B6A821" w14:textId="5A103C86" w:rsidR="008F3FB2" w:rsidRPr="00416A92" w:rsidRDefault="008F3FB2" w:rsidP="008F3FB2">
      <w:pPr>
        <w:pStyle w:val="BodyTextGrey"/>
        <w:rPr>
          <w:sz w:val="24"/>
          <w:szCs w:val="24"/>
        </w:rPr>
      </w:pPr>
      <w:r w:rsidRPr="00416A92">
        <w:rPr>
          <w:sz w:val="24"/>
          <w:szCs w:val="24"/>
        </w:rPr>
        <w:lastRenderedPageBreak/>
        <w:t>Academies</w:t>
      </w:r>
      <w:r w:rsidRPr="00416A92">
        <w:rPr>
          <w:sz w:val="24"/>
          <w:szCs w:val="24"/>
        </w:rPr>
        <w:tab/>
      </w:r>
      <w:r w:rsidRPr="00416A92">
        <w:rPr>
          <w:sz w:val="24"/>
          <w:szCs w:val="24"/>
        </w:rPr>
        <w:tab/>
      </w:r>
      <w:r w:rsidRPr="00416A92">
        <w:rPr>
          <w:sz w:val="24"/>
          <w:szCs w:val="24"/>
        </w:rPr>
        <w:tab/>
      </w:r>
      <w:r w:rsidR="00F83F3E" w:rsidRPr="00416A92">
        <w:rPr>
          <w:sz w:val="24"/>
          <w:szCs w:val="24"/>
        </w:rPr>
        <w:tab/>
      </w:r>
      <w:r w:rsidR="00F83F3E" w:rsidRPr="00416A92">
        <w:rPr>
          <w:sz w:val="24"/>
          <w:szCs w:val="24"/>
        </w:rPr>
        <w:tab/>
      </w:r>
      <w:r w:rsidR="00F83F3E" w:rsidRPr="00416A92">
        <w:rPr>
          <w:sz w:val="24"/>
          <w:szCs w:val="24"/>
        </w:rPr>
        <w:tab/>
      </w:r>
      <w:r w:rsidR="00B7267E">
        <w:rPr>
          <w:sz w:val="24"/>
          <w:szCs w:val="24"/>
        </w:rPr>
        <w:tab/>
      </w:r>
      <w:r w:rsidR="00F83F3E" w:rsidRPr="00416A92">
        <w:rPr>
          <w:sz w:val="24"/>
          <w:szCs w:val="24"/>
        </w:rPr>
        <w:tab/>
      </w:r>
      <w:r w:rsidRPr="00416A92">
        <w:rPr>
          <w:sz w:val="24"/>
          <w:szCs w:val="24"/>
        </w:rPr>
        <w:t>- up to 3 years</w:t>
      </w:r>
    </w:p>
    <w:p w14:paraId="085CF21A" w14:textId="692B993F" w:rsidR="008F3FB2" w:rsidRPr="00416A92" w:rsidRDefault="008F3FB2" w:rsidP="008F3FB2">
      <w:pPr>
        <w:pStyle w:val="BodyTextGrey"/>
        <w:rPr>
          <w:sz w:val="24"/>
          <w:szCs w:val="24"/>
        </w:rPr>
      </w:pPr>
      <w:r w:rsidRPr="00416A92">
        <w:rPr>
          <w:sz w:val="24"/>
          <w:szCs w:val="24"/>
        </w:rPr>
        <w:t xml:space="preserve">Transferee Admission Bodies </w:t>
      </w:r>
      <w:r w:rsidRPr="00416A92">
        <w:rPr>
          <w:sz w:val="24"/>
          <w:szCs w:val="24"/>
        </w:rPr>
        <w:tab/>
      </w:r>
      <w:r w:rsidR="00F83F3E" w:rsidRPr="00416A92">
        <w:rPr>
          <w:sz w:val="24"/>
          <w:szCs w:val="24"/>
        </w:rPr>
        <w:tab/>
      </w:r>
      <w:r w:rsidR="00F83F3E" w:rsidRPr="00416A92">
        <w:rPr>
          <w:sz w:val="24"/>
          <w:szCs w:val="24"/>
        </w:rPr>
        <w:tab/>
      </w:r>
      <w:r w:rsidR="00F83F3E" w:rsidRPr="00416A92">
        <w:rPr>
          <w:sz w:val="24"/>
          <w:szCs w:val="24"/>
        </w:rPr>
        <w:tab/>
      </w:r>
      <w:r w:rsidRPr="00416A92">
        <w:rPr>
          <w:sz w:val="24"/>
          <w:szCs w:val="24"/>
        </w:rPr>
        <w:t>- payable immediately.</w:t>
      </w:r>
    </w:p>
    <w:p w14:paraId="70C08970" w14:textId="77777777" w:rsidR="008F3FB2" w:rsidRPr="00416A92" w:rsidRDefault="009B3C69" w:rsidP="009B3C69">
      <w:pPr>
        <w:pStyle w:val="Heading2Num"/>
        <w:rPr>
          <w:sz w:val="24"/>
          <w:szCs w:val="24"/>
        </w:rPr>
      </w:pPr>
      <w:bookmarkStart w:id="29" w:name="illhealthearlyretirementcosts"/>
      <w:r w:rsidRPr="00416A92">
        <w:rPr>
          <w:sz w:val="24"/>
          <w:szCs w:val="24"/>
        </w:rPr>
        <w:t>Ill health early retirement costs</w:t>
      </w:r>
    </w:p>
    <w:bookmarkEnd w:id="29"/>
    <w:p w14:paraId="25657E28" w14:textId="19BAA86A" w:rsidR="00F36C2D" w:rsidRPr="00416A92" w:rsidRDefault="00F36C2D" w:rsidP="009B3C69">
      <w:pPr>
        <w:pStyle w:val="BodyTextGrey"/>
        <w:rPr>
          <w:sz w:val="24"/>
          <w:szCs w:val="24"/>
        </w:rPr>
      </w:pPr>
      <w:r w:rsidRPr="00416A92">
        <w:rPr>
          <w:sz w:val="24"/>
          <w:szCs w:val="24"/>
        </w:rPr>
        <w:t xml:space="preserve">In the event of a member’s early retirement on the grounds of ill-health, a funding strain will usually arise, which can be very large. Such strains are currently met by each employer, although individual employers may elect to take external insurance (see </w:t>
      </w:r>
      <w:hyperlink w:anchor="externalillhealthinsurance" w:history="1">
        <w:r w:rsidRPr="00416A92">
          <w:rPr>
            <w:rStyle w:val="Hyperlink"/>
            <w:sz w:val="24"/>
            <w:szCs w:val="24"/>
          </w:rPr>
          <w:t>3.8</w:t>
        </w:r>
      </w:hyperlink>
      <w:r w:rsidRPr="00416A92">
        <w:rPr>
          <w:sz w:val="24"/>
          <w:szCs w:val="24"/>
        </w:rPr>
        <w:t xml:space="preserve"> below).</w:t>
      </w:r>
    </w:p>
    <w:p w14:paraId="6154E6F8" w14:textId="77777777" w:rsidR="00173809" w:rsidRPr="00416A92" w:rsidRDefault="00173809" w:rsidP="00173809">
      <w:pPr>
        <w:spacing w:after="200"/>
        <w:jc w:val="left"/>
        <w:rPr>
          <w:color w:val="455560"/>
          <w:sz w:val="24"/>
          <w:szCs w:val="24"/>
          <w:lang w:eastAsia="en-US"/>
        </w:rPr>
      </w:pPr>
      <w:r w:rsidRPr="00416A92">
        <w:rPr>
          <w:color w:val="455560"/>
          <w:sz w:val="24"/>
          <w:szCs w:val="24"/>
          <w:lang w:eastAsia="en-US"/>
        </w:rPr>
        <w:t xml:space="preserve">To mitigate this risk, individual employers may elect to use external insurance, which has been made available by the Fund (see </w:t>
      </w:r>
      <w:hyperlink w:anchor="externalillhealthinsurance" w:history="1">
        <w:r w:rsidRPr="00416A92">
          <w:rPr>
            <w:color w:val="0000FF"/>
            <w:sz w:val="24"/>
            <w:szCs w:val="24"/>
            <w:u w:val="single"/>
            <w:lang w:eastAsia="en-US"/>
          </w:rPr>
          <w:t>3.8</w:t>
        </w:r>
      </w:hyperlink>
      <w:r w:rsidRPr="00416A92">
        <w:rPr>
          <w:color w:val="455560"/>
          <w:sz w:val="24"/>
          <w:szCs w:val="24"/>
          <w:lang w:eastAsia="en-US"/>
        </w:rPr>
        <w:t xml:space="preserve"> below).</w:t>
      </w:r>
    </w:p>
    <w:p w14:paraId="07AE4BBA" w14:textId="77777777" w:rsidR="009B3C69" w:rsidRPr="00416A92" w:rsidRDefault="00F36C2D" w:rsidP="009B3C69">
      <w:pPr>
        <w:pStyle w:val="Heading2Num"/>
        <w:rPr>
          <w:sz w:val="24"/>
          <w:szCs w:val="24"/>
        </w:rPr>
      </w:pPr>
      <w:bookmarkStart w:id="30" w:name="externalillhealthinsurance"/>
      <w:r w:rsidRPr="00416A92">
        <w:rPr>
          <w:sz w:val="24"/>
          <w:szCs w:val="24"/>
        </w:rPr>
        <w:t xml:space="preserve">External </w:t>
      </w:r>
      <w:r w:rsidR="009B3C69" w:rsidRPr="00416A92">
        <w:rPr>
          <w:sz w:val="24"/>
          <w:szCs w:val="24"/>
        </w:rPr>
        <w:t>Ill health insurance</w:t>
      </w:r>
    </w:p>
    <w:bookmarkEnd w:id="30"/>
    <w:p w14:paraId="0849B61A" w14:textId="69040800" w:rsidR="003631BC" w:rsidRPr="00416A92" w:rsidRDefault="003631BC" w:rsidP="00813305">
      <w:pPr>
        <w:pStyle w:val="BodyTextGrey"/>
        <w:rPr>
          <w:sz w:val="24"/>
          <w:szCs w:val="24"/>
        </w:rPr>
      </w:pPr>
      <w:r w:rsidRPr="00416A92">
        <w:rPr>
          <w:sz w:val="24"/>
          <w:szCs w:val="24"/>
        </w:rPr>
        <w:t xml:space="preserve">If an employer provides satisfactory evidence to the Administering Authority of a current </w:t>
      </w:r>
      <w:r w:rsidR="00F36C2D" w:rsidRPr="00416A92">
        <w:rPr>
          <w:sz w:val="24"/>
          <w:szCs w:val="24"/>
        </w:rPr>
        <w:t xml:space="preserve">external </w:t>
      </w:r>
      <w:r w:rsidRPr="00416A92">
        <w:rPr>
          <w:sz w:val="24"/>
          <w:szCs w:val="24"/>
        </w:rPr>
        <w:t>insurance policy covering ill health</w:t>
      </w:r>
      <w:r w:rsidR="00813305" w:rsidRPr="00416A92">
        <w:rPr>
          <w:sz w:val="24"/>
          <w:szCs w:val="24"/>
        </w:rPr>
        <w:t xml:space="preserve"> early retirement strains, then th</w:t>
      </w:r>
      <w:r w:rsidRPr="00416A92">
        <w:rPr>
          <w:sz w:val="24"/>
          <w:szCs w:val="24"/>
        </w:rPr>
        <w:t xml:space="preserve">e employer’s contribution to the Fund each year is reduced by the amount of that year’s insurance premium, so that the </w:t>
      </w:r>
      <w:r w:rsidR="00520622" w:rsidRPr="00416A92">
        <w:rPr>
          <w:sz w:val="24"/>
          <w:szCs w:val="24"/>
        </w:rPr>
        <w:t>total contribution is unchanged</w:t>
      </w:r>
      <w:r w:rsidRPr="00416A92">
        <w:rPr>
          <w:sz w:val="24"/>
          <w:szCs w:val="24"/>
        </w:rPr>
        <w:t>.</w:t>
      </w:r>
    </w:p>
    <w:p w14:paraId="0EDBC5FC" w14:textId="5FB3DA85" w:rsidR="003631BC" w:rsidRPr="00416A92" w:rsidRDefault="003631BC" w:rsidP="003631BC">
      <w:pPr>
        <w:pStyle w:val="BodyTextGrey"/>
        <w:rPr>
          <w:sz w:val="24"/>
          <w:szCs w:val="24"/>
        </w:rPr>
      </w:pPr>
      <w:r w:rsidRPr="00416A92">
        <w:rPr>
          <w:sz w:val="24"/>
          <w:szCs w:val="24"/>
        </w:rPr>
        <w:t>The employer must keep the Administering Authority notified of any changes in the insurance policy’s coverage or premium terms, or if the policy is ceased.</w:t>
      </w:r>
    </w:p>
    <w:p w14:paraId="36E67A15" w14:textId="155A36E3" w:rsidR="00173809" w:rsidRPr="009B5375" w:rsidRDefault="00173809" w:rsidP="00173809">
      <w:pPr>
        <w:spacing w:after="200"/>
        <w:jc w:val="left"/>
        <w:rPr>
          <w:color w:val="455560"/>
          <w:sz w:val="24"/>
          <w:szCs w:val="24"/>
          <w:lang w:eastAsia="en-US"/>
        </w:rPr>
      </w:pPr>
      <w:r w:rsidRPr="009B5375">
        <w:rPr>
          <w:color w:val="455560"/>
          <w:sz w:val="24"/>
          <w:szCs w:val="24"/>
          <w:lang w:eastAsia="en-US"/>
        </w:rPr>
        <w:t xml:space="preserve">Each employer may elect to use external insurance which has been made available by the Fund. </w:t>
      </w:r>
      <w:r w:rsidR="00F1396F" w:rsidRPr="009B5375">
        <w:rPr>
          <w:color w:val="455560"/>
          <w:sz w:val="24"/>
          <w:szCs w:val="24"/>
          <w:lang w:eastAsia="en-US"/>
        </w:rPr>
        <w:t>Employers can request details fr</w:t>
      </w:r>
      <w:r w:rsidR="002B6330" w:rsidRPr="009B5375">
        <w:rPr>
          <w:color w:val="455560"/>
          <w:sz w:val="24"/>
          <w:szCs w:val="24"/>
          <w:lang w:eastAsia="en-US"/>
        </w:rPr>
        <w:t>o</w:t>
      </w:r>
      <w:r w:rsidR="00F1396F" w:rsidRPr="009B5375">
        <w:rPr>
          <w:color w:val="455560"/>
          <w:sz w:val="24"/>
          <w:szCs w:val="24"/>
          <w:lang w:eastAsia="en-US"/>
        </w:rPr>
        <w:t>m the Fund</w:t>
      </w:r>
      <w:r w:rsidR="002B6330" w:rsidRPr="009B5375">
        <w:rPr>
          <w:color w:val="455560"/>
          <w:sz w:val="24"/>
          <w:szCs w:val="24"/>
          <w:lang w:eastAsia="en-US"/>
        </w:rPr>
        <w:t>.</w:t>
      </w:r>
      <w:r w:rsidRPr="009B5375">
        <w:rPr>
          <w:color w:val="455560"/>
          <w:sz w:val="24"/>
          <w:szCs w:val="24"/>
          <w:lang w:eastAsia="en-US"/>
        </w:rPr>
        <w:t>.</w:t>
      </w:r>
    </w:p>
    <w:p w14:paraId="42E65045" w14:textId="77777777" w:rsidR="00173809" w:rsidRPr="009B5375" w:rsidRDefault="00173809" w:rsidP="00173809">
      <w:pPr>
        <w:spacing w:after="200"/>
        <w:jc w:val="left"/>
        <w:rPr>
          <w:color w:val="455560"/>
          <w:sz w:val="24"/>
          <w:szCs w:val="24"/>
          <w:lang w:eastAsia="en-US"/>
        </w:rPr>
      </w:pPr>
      <w:r w:rsidRPr="009B5375">
        <w:rPr>
          <w:color w:val="455560"/>
          <w:sz w:val="24"/>
          <w:szCs w:val="24"/>
          <w:lang w:eastAsia="en-US"/>
        </w:rPr>
        <w:t>If an employer provides satisfactory evidence to the Administering Authority of putting in place an external insurance policy covering ill health early retirement strains, then:</w:t>
      </w:r>
    </w:p>
    <w:p w14:paraId="18A23C56" w14:textId="77777777" w:rsidR="00173809" w:rsidRPr="009B5375" w:rsidRDefault="00173809" w:rsidP="00173809">
      <w:pPr>
        <w:spacing w:after="200"/>
        <w:jc w:val="left"/>
        <w:rPr>
          <w:color w:val="455560"/>
          <w:sz w:val="24"/>
          <w:szCs w:val="24"/>
          <w:lang w:eastAsia="en-US"/>
        </w:rPr>
      </w:pPr>
      <w:r w:rsidRPr="009B5375">
        <w:rPr>
          <w:color w:val="455560"/>
          <w:sz w:val="24"/>
          <w:szCs w:val="24"/>
          <w:lang w:eastAsia="en-US"/>
        </w:rPr>
        <w:t>-</w:t>
      </w:r>
      <w:r w:rsidRPr="009B5375">
        <w:rPr>
          <w:color w:val="455560"/>
          <w:sz w:val="24"/>
          <w:szCs w:val="24"/>
          <w:lang w:eastAsia="en-US"/>
        </w:rPr>
        <w:tab/>
        <w:t>the employer’s contribution rate to the Fund each year is reduced by the amount of that year’s insurance premium rate, and</w:t>
      </w:r>
    </w:p>
    <w:p w14:paraId="22F17DD8" w14:textId="77777777" w:rsidR="00173809" w:rsidRPr="009B5375" w:rsidRDefault="00173809" w:rsidP="00173809">
      <w:pPr>
        <w:spacing w:after="200"/>
        <w:jc w:val="left"/>
        <w:rPr>
          <w:color w:val="455560"/>
          <w:sz w:val="24"/>
          <w:szCs w:val="24"/>
          <w:lang w:eastAsia="en-US"/>
        </w:rPr>
      </w:pPr>
      <w:r w:rsidRPr="009B5375">
        <w:rPr>
          <w:color w:val="455560"/>
          <w:sz w:val="24"/>
          <w:szCs w:val="24"/>
          <w:lang w:eastAsia="en-US"/>
        </w:rPr>
        <w:t>-</w:t>
      </w:r>
      <w:r w:rsidRPr="009B5375">
        <w:rPr>
          <w:color w:val="455560"/>
          <w:sz w:val="24"/>
          <w:szCs w:val="24"/>
          <w:lang w:eastAsia="en-US"/>
        </w:rPr>
        <w:tab/>
        <w:t>there is no need for monitoring of ill health allowances versus experience (as typically required for some employers).</w:t>
      </w:r>
    </w:p>
    <w:p w14:paraId="25758FB4" w14:textId="77777777" w:rsidR="00173809" w:rsidRPr="009B5375" w:rsidRDefault="00173809" w:rsidP="00173809">
      <w:pPr>
        <w:spacing w:after="200"/>
        <w:jc w:val="left"/>
        <w:rPr>
          <w:color w:val="455560"/>
          <w:sz w:val="24"/>
          <w:szCs w:val="24"/>
          <w:lang w:eastAsia="en-US"/>
        </w:rPr>
      </w:pPr>
      <w:r w:rsidRPr="009B5375">
        <w:rPr>
          <w:color w:val="455560"/>
          <w:sz w:val="24"/>
          <w:szCs w:val="24"/>
          <w:lang w:eastAsia="en-US"/>
        </w:rPr>
        <w:t>When an active member retires on ill health early retirement the claim amount will be paid directly from the insurer to the insured employer. This amount should then be paid to the Fund to allow the employer’s asset share to be credited.</w:t>
      </w:r>
    </w:p>
    <w:p w14:paraId="2A16A3C4" w14:textId="77777777" w:rsidR="00173809" w:rsidRPr="009B5375" w:rsidRDefault="00173809" w:rsidP="00173809">
      <w:pPr>
        <w:spacing w:after="200"/>
        <w:jc w:val="left"/>
        <w:rPr>
          <w:color w:val="455560"/>
          <w:sz w:val="24"/>
          <w:szCs w:val="24"/>
          <w:lang w:eastAsia="en-US"/>
        </w:rPr>
      </w:pPr>
      <w:r w:rsidRPr="009B5375">
        <w:rPr>
          <w:color w:val="455560"/>
          <w:sz w:val="24"/>
          <w:szCs w:val="24"/>
          <w:lang w:eastAsia="en-US"/>
        </w:rPr>
        <w:t>The employer must keep the Administering Authority notified of any changes in the insurance policy’s coverage or premium terms, or if the policy is ceased.</w:t>
      </w:r>
    </w:p>
    <w:p w14:paraId="2047136A" w14:textId="77777777" w:rsidR="009B3C69" w:rsidRPr="00416A92" w:rsidRDefault="0078592F" w:rsidP="00173809">
      <w:pPr>
        <w:pStyle w:val="Heading2Num"/>
        <w:rPr>
          <w:sz w:val="24"/>
          <w:szCs w:val="24"/>
        </w:rPr>
      </w:pPr>
      <w:bookmarkStart w:id="31" w:name="EmployersWithNoRemainingActiveMembers3_9"/>
      <w:r w:rsidRPr="00416A92">
        <w:rPr>
          <w:sz w:val="24"/>
          <w:szCs w:val="24"/>
        </w:rPr>
        <w:t>Employers with no remaining active members</w:t>
      </w:r>
    </w:p>
    <w:bookmarkEnd w:id="31"/>
    <w:p w14:paraId="61C08C31" w14:textId="699BC41E" w:rsidR="0078592F" w:rsidRPr="00416A92" w:rsidRDefault="00520622" w:rsidP="0078592F">
      <w:pPr>
        <w:pStyle w:val="BodyTextGrey"/>
        <w:rPr>
          <w:sz w:val="24"/>
          <w:szCs w:val="24"/>
        </w:rPr>
      </w:pPr>
      <w:r w:rsidRPr="00416A92">
        <w:rPr>
          <w:sz w:val="24"/>
          <w:szCs w:val="24"/>
        </w:rPr>
        <w:t>In general an employer ceasing in the Fund, due to the departure of the last active member, will pay a cessation debt</w:t>
      </w:r>
      <w:r w:rsidR="00E12F8C" w:rsidRPr="00416A92">
        <w:rPr>
          <w:sz w:val="24"/>
          <w:szCs w:val="24"/>
        </w:rPr>
        <w:t xml:space="preserve"> or receive an exit credit</w:t>
      </w:r>
      <w:r w:rsidRPr="00416A92">
        <w:rPr>
          <w:sz w:val="24"/>
          <w:szCs w:val="24"/>
        </w:rPr>
        <w:t xml:space="preserve"> on an appropriate basis (see </w:t>
      </w:r>
      <w:hyperlink w:anchor="TheDifferentApproachesUsedForDiffEmps3_3" w:history="1">
        <w:r w:rsidRPr="00416A92">
          <w:rPr>
            <w:rStyle w:val="Hyperlink"/>
            <w:sz w:val="24"/>
            <w:szCs w:val="24"/>
          </w:rPr>
          <w:t>3.3</w:t>
        </w:r>
      </w:hyperlink>
      <w:r w:rsidRPr="00416A92">
        <w:rPr>
          <w:sz w:val="24"/>
          <w:szCs w:val="24"/>
        </w:rPr>
        <w:t xml:space="preserve">, </w:t>
      </w:r>
      <w:hyperlink w:anchor="Notej" w:history="1">
        <w:r w:rsidRPr="00416A92">
          <w:rPr>
            <w:rStyle w:val="Hyperlink"/>
            <w:sz w:val="24"/>
            <w:szCs w:val="24"/>
          </w:rPr>
          <w:t>Note (j)</w:t>
        </w:r>
      </w:hyperlink>
      <w:r w:rsidRPr="00416A92">
        <w:rPr>
          <w:sz w:val="24"/>
          <w:szCs w:val="24"/>
        </w:rPr>
        <w:t>) and consequently have no further obligation to the Fund. Thereafter it is expected that one of two situations will eventually arise:</w:t>
      </w:r>
    </w:p>
    <w:p w14:paraId="32CF26F7" w14:textId="77777777" w:rsidR="00520622" w:rsidRPr="00416A92" w:rsidRDefault="00520622" w:rsidP="00C728B0">
      <w:pPr>
        <w:pStyle w:val="BodyTextGrey"/>
        <w:numPr>
          <w:ilvl w:val="0"/>
          <w:numId w:val="17"/>
        </w:numPr>
        <w:ind w:left="567" w:hanging="567"/>
        <w:rPr>
          <w:sz w:val="24"/>
          <w:szCs w:val="24"/>
        </w:rPr>
      </w:pPr>
      <w:r w:rsidRPr="00416A92">
        <w:rPr>
          <w:sz w:val="24"/>
          <w:szCs w:val="24"/>
        </w:rPr>
        <w:t xml:space="preserve">The employer’s asset share runs out before all its ex-employees’ benefits have been paid. In this situation the other Fund employers will be required to </w:t>
      </w:r>
      <w:r w:rsidR="00070E78" w:rsidRPr="00416A92">
        <w:rPr>
          <w:sz w:val="24"/>
          <w:szCs w:val="24"/>
        </w:rPr>
        <w:t xml:space="preserve">contribute to </w:t>
      </w:r>
      <w:r w:rsidRPr="00416A92">
        <w:rPr>
          <w:sz w:val="24"/>
          <w:szCs w:val="24"/>
        </w:rPr>
        <w:t>pay all remaining benefits</w:t>
      </w:r>
      <w:r w:rsidR="00070E78" w:rsidRPr="00416A92">
        <w:rPr>
          <w:sz w:val="24"/>
          <w:szCs w:val="24"/>
        </w:rPr>
        <w:t>: this</w:t>
      </w:r>
      <w:r w:rsidRPr="00416A92">
        <w:rPr>
          <w:sz w:val="24"/>
          <w:szCs w:val="24"/>
        </w:rPr>
        <w:t xml:space="preserve"> will be </w:t>
      </w:r>
      <w:r w:rsidR="00070E78" w:rsidRPr="00416A92">
        <w:rPr>
          <w:sz w:val="24"/>
          <w:szCs w:val="24"/>
        </w:rPr>
        <w:t>done by the Fund actuary apportioning the remaining liabilities on a pro-rata basis at successive formal valuations;</w:t>
      </w:r>
    </w:p>
    <w:p w14:paraId="5016B28A" w14:textId="50D199F9" w:rsidR="00192519" w:rsidRPr="00416A92" w:rsidRDefault="00070E78" w:rsidP="00C728B0">
      <w:pPr>
        <w:pStyle w:val="BodyTextGrey"/>
        <w:numPr>
          <w:ilvl w:val="0"/>
          <w:numId w:val="17"/>
        </w:numPr>
        <w:ind w:left="567" w:hanging="567"/>
        <w:rPr>
          <w:sz w:val="24"/>
          <w:szCs w:val="24"/>
        </w:rPr>
      </w:pPr>
      <w:r w:rsidRPr="00416A92">
        <w:rPr>
          <w:sz w:val="24"/>
          <w:szCs w:val="24"/>
        </w:rPr>
        <w:lastRenderedPageBreak/>
        <w:t>The last ex-employee or dependant dies before the employer’s asset share has been fully utilised.</w:t>
      </w:r>
      <w:r w:rsidR="00862F9A" w:rsidRPr="00416A92">
        <w:rPr>
          <w:sz w:val="24"/>
          <w:szCs w:val="24"/>
        </w:rPr>
        <w:t xml:space="preserve"> </w:t>
      </w:r>
      <w:r w:rsidRPr="00416A92">
        <w:rPr>
          <w:sz w:val="24"/>
          <w:szCs w:val="24"/>
        </w:rPr>
        <w:t xml:space="preserve"> In this situation the remaining assets would be apportioned pro-rata by the Fund’s actuary to the other Fund</w:t>
      </w:r>
      <w:r w:rsidR="00283E56" w:rsidRPr="00416A92">
        <w:rPr>
          <w:sz w:val="24"/>
          <w:szCs w:val="24"/>
        </w:rPr>
        <w:t>.</w:t>
      </w:r>
      <w:r w:rsidRPr="00416A92">
        <w:rPr>
          <w:sz w:val="24"/>
          <w:szCs w:val="24"/>
        </w:rPr>
        <w:t xml:space="preserve"> </w:t>
      </w:r>
    </w:p>
    <w:p w14:paraId="5FCE8456" w14:textId="1E361A4D" w:rsidR="00070E78" w:rsidRPr="00416A92" w:rsidRDefault="00070E78" w:rsidP="00C728B0">
      <w:pPr>
        <w:pStyle w:val="BodyTextGrey"/>
        <w:numPr>
          <w:ilvl w:val="0"/>
          <w:numId w:val="17"/>
        </w:numPr>
        <w:ind w:left="567" w:hanging="567"/>
        <w:rPr>
          <w:sz w:val="24"/>
          <w:szCs w:val="24"/>
        </w:rPr>
      </w:pPr>
      <w:r w:rsidRPr="00416A92">
        <w:rPr>
          <w:sz w:val="24"/>
          <w:szCs w:val="24"/>
        </w:rPr>
        <w:t>In exceptional circumstances the Fund may permit an employer with no remaining active members</w:t>
      </w:r>
      <w:r w:rsidR="003B5E98" w:rsidRPr="00416A92">
        <w:rPr>
          <w:sz w:val="24"/>
          <w:szCs w:val="24"/>
        </w:rPr>
        <w:t xml:space="preserve"> and a cessation deficit</w:t>
      </w:r>
      <w:r w:rsidRPr="00416A92">
        <w:rPr>
          <w:sz w:val="24"/>
          <w:szCs w:val="24"/>
        </w:rPr>
        <w:t xml:space="preserve"> to continue contributing to the Fund. This would require the provision of a suitable security or guarantee, as well as a written ongoing commitment to fund the remainder of the employer’s obligations over an appropriate period. The Fund would reserve the right to invoke the cessation requirements in the future, however.</w:t>
      </w:r>
      <w:r w:rsidR="00F83F3E" w:rsidRPr="00416A92">
        <w:rPr>
          <w:sz w:val="24"/>
          <w:szCs w:val="24"/>
        </w:rPr>
        <w:t xml:space="preserve">  The Administering Authority may need to seek legal advice in such cases, as the </w:t>
      </w:r>
      <w:r w:rsidR="000F2984" w:rsidRPr="00416A92">
        <w:rPr>
          <w:sz w:val="24"/>
          <w:szCs w:val="24"/>
        </w:rPr>
        <w:t xml:space="preserve">employer </w:t>
      </w:r>
      <w:r w:rsidR="00F83F3E" w:rsidRPr="00416A92">
        <w:rPr>
          <w:sz w:val="24"/>
          <w:szCs w:val="24"/>
        </w:rPr>
        <w:t>would have no contributing members.</w:t>
      </w:r>
    </w:p>
    <w:p w14:paraId="10B7C850" w14:textId="77777777" w:rsidR="0078592F" w:rsidRPr="00416A92" w:rsidRDefault="0078592F" w:rsidP="00173809">
      <w:pPr>
        <w:pStyle w:val="Heading2Num"/>
        <w:rPr>
          <w:sz w:val="24"/>
          <w:szCs w:val="24"/>
        </w:rPr>
      </w:pPr>
      <w:r w:rsidRPr="00416A92">
        <w:rPr>
          <w:sz w:val="24"/>
          <w:szCs w:val="24"/>
        </w:rPr>
        <w:t>Polic</w:t>
      </w:r>
      <w:r w:rsidR="00DB71F2" w:rsidRPr="00416A92">
        <w:rPr>
          <w:sz w:val="24"/>
          <w:szCs w:val="24"/>
        </w:rPr>
        <w:t>i</w:t>
      </w:r>
      <w:r w:rsidRPr="00416A92">
        <w:rPr>
          <w:sz w:val="24"/>
          <w:szCs w:val="24"/>
        </w:rPr>
        <w:t>es on bulk transfers</w:t>
      </w:r>
    </w:p>
    <w:p w14:paraId="758C5C35" w14:textId="008D8A73" w:rsidR="0078592F" w:rsidRPr="00416A92" w:rsidRDefault="00520622" w:rsidP="0078592F">
      <w:pPr>
        <w:pStyle w:val="BodyTextGrey"/>
        <w:rPr>
          <w:sz w:val="24"/>
          <w:szCs w:val="24"/>
        </w:rPr>
      </w:pPr>
      <w:r w:rsidRPr="00416A92">
        <w:rPr>
          <w:sz w:val="24"/>
          <w:szCs w:val="24"/>
        </w:rPr>
        <w:t xml:space="preserve">The Fund </w:t>
      </w:r>
      <w:r w:rsidR="00354BEE" w:rsidRPr="00416A92">
        <w:rPr>
          <w:sz w:val="24"/>
          <w:szCs w:val="24"/>
        </w:rPr>
        <w:t>may occasionally deal with</w:t>
      </w:r>
      <w:r w:rsidRPr="00416A92">
        <w:rPr>
          <w:sz w:val="24"/>
          <w:szCs w:val="24"/>
        </w:rPr>
        <w:t xml:space="preserve"> bulk transfer payments into, out of and within the Fund. Each case will be treated on its own merits, but in general:</w:t>
      </w:r>
    </w:p>
    <w:p w14:paraId="24BA5178" w14:textId="77777777" w:rsidR="00520622" w:rsidRPr="00416A92" w:rsidRDefault="00520622" w:rsidP="00C728B0">
      <w:pPr>
        <w:pStyle w:val="BulletHymans"/>
        <w:numPr>
          <w:ilvl w:val="0"/>
          <w:numId w:val="46"/>
        </w:numPr>
        <w:rPr>
          <w:sz w:val="24"/>
          <w:szCs w:val="24"/>
        </w:rPr>
      </w:pPr>
      <w:r w:rsidRPr="00416A92">
        <w:rPr>
          <w:sz w:val="24"/>
          <w:szCs w:val="24"/>
        </w:rPr>
        <w:t>The Fund will not pay bulk transfers greater than the lesser of (a) the asset share of the transferring employer in the Fund, and (b) the value of the past service liabilities of the transferring members;</w:t>
      </w:r>
    </w:p>
    <w:p w14:paraId="1AD437F2" w14:textId="0B4C6D79" w:rsidR="00520622" w:rsidRPr="00416A92" w:rsidRDefault="00520622" w:rsidP="00C728B0">
      <w:pPr>
        <w:pStyle w:val="BulletHymans"/>
        <w:numPr>
          <w:ilvl w:val="0"/>
          <w:numId w:val="46"/>
        </w:numPr>
        <w:rPr>
          <w:sz w:val="24"/>
          <w:szCs w:val="24"/>
        </w:rPr>
      </w:pPr>
      <w:r w:rsidRPr="00416A92">
        <w:rPr>
          <w:sz w:val="24"/>
          <w:szCs w:val="24"/>
        </w:rPr>
        <w:t>The Fund will not grant added benefits to members bringing in entitlements from another Fund unless the asset transfer is sufficient to meet the added liabilities;</w:t>
      </w:r>
      <w:r w:rsidR="00283E56" w:rsidRPr="00416A92">
        <w:rPr>
          <w:sz w:val="24"/>
          <w:szCs w:val="24"/>
        </w:rPr>
        <w:t xml:space="preserve"> and</w:t>
      </w:r>
    </w:p>
    <w:p w14:paraId="5A73001A" w14:textId="77777777" w:rsidR="00192519" w:rsidRPr="00416A92" w:rsidRDefault="00520622" w:rsidP="00C728B0">
      <w:pPr>
        <w:pStyle w:val="BulletHymans"/>
        <w:numPr>
          <w:ilvl w:val="0"/>
          <w:numId w:val="46"/>
        </w:numPr>
        <w:rPr>
          <w:sz w:val="24"/>
          <w:szCs w:val="24"/>
        </w:rPr>
      </w:pPr>
      <w:r w:rsidRPr="00416A92">
        <w:rPr>
          <w:sz w:val="24"/>
          <w:szCs w:val="24"/>
        </w:rPr>
        <w:t xml:space="preserve">The Fund may permit shortfalls to arise on bulk transfers if the Fund employer has suitable strength of covenant and commits to meeting that shortfall in an appropriate period. </w:t>
      </w:r>
      <w:r w:rsidR="00862F9A" w:rsidRPr="00416A92">
        <w:rPr>
          <w:sz w:val="24"/>
          <w:szCs w:val="24"/>
        </w:rPr>
        <w:t xml:space="preserve"> </w:t>
      </w:r>
      <w:r w:rsidRPr="00416A92">
        <w:rPr>
          <w:sz w:val="24"/>
          <w:szCs w:val="24"/>
        </w:rPr>
        <w:t>This may require the employer’s Fund contributions to increase between valuations.</w:t>
      </w:r>
      <w:r w:rsidR="009D3EDC" w:rsidRPr="00416A92">
        <w:rPr>
          <w:sz w:val="24"/>
          <w:szCs w:val="24"/>
        </w:rPr>
        <w:t xml:space="preserve">  </w:t>
      </w:r>
    </w:p>
    <w:p w14:paraId="08D7C056" w14:textId="77777777" w:rsidR="0078592F" w:rsidRPr="009D3EDC" w:rsidRDefault="0078592F" w:rsidP="00192519">
      <w:pPr>
        <w:pStyle w:val="BodyTextGrey"/>
      </w:pPr>
      <w:r w:rsidRPr="00416A92">
        <w:rPr>
          <w:sz w:val="24"/>
          <w:szCs w:val="24"/>
        </w:rPr>
        <w:br w:type="page"/>
      </w:r>
    </w:p>
    <w:p w14:paraId="57FA6361" w14:textId="77777777" w:rsidR="0078592F" w:rsidRDefault="0078592F" w:rsidP="0078592F">
      <w:pPr>
        <w:pStyle w:val="Heading1Num"/>
      </w:pPr>
      <w:bookmarkStart w:id="32" w:name="_Toc22839043"/>
      <w:bookmarkStart w:id="33" w:name="Section4"/>
      <w:r>
        <w:lastRenderedPageBreak/>
        <w:t>Funding strategy and links to investment strategy</w:t>
      </w:r>
      <w:bookmarkEnd w:id="32"/>
    </w:p>
    <w:bookmarkEnd w:id="33"/>
    <w:p w14:paraId="3BC36CA9" w14:textId="77777777" w:rsidR="008E4DF0" w:rsidRPr="00416A92" w:rsidRDefault="00070E78" w:rsidP="008E4DF0">
      <w:pPr>
        <w:pStyle w:val="Heading2Num"/>
        <w:rPr>
          <w:sz w:val="24"/>
          <w:szCs w:val="24"/>
        </w:rPr>
      </w:pPr>
      <w:r w:rsidRPr="00416A92">
        <w:rPr>
          <w:sz w:val="24"/>
          <w:szCs w:val="24"/>
        </w:rPr>
        <w:t>What is the Fund’s investment</w:t>
      </w:r>
      <w:r w:rsidR="008E4DF0" w:rsidRPr="00416A92">
        <w:rPr>
          <w:sz w:val="24"/>
          <w:szCs w:val="24"/>
        </w:rPr>
        <w:t xml:space="preserve"> strategy</w:t>
      </w:r>
      <w:r w:rsidRPr="00416A92">
        <w:rPr>
          <w:sz w:val="24"/>
          <w:szCs w:val="24"/>
        </w:rPr>
        <w:t>?</w:t>
      </w:r>
    </w:p>
    <w:p w14:paraId="532C62DD" w14:textId="77777777" w:rsidR="00070E78" w:rsidRPr="00416A92" w:rsidRDefault="00070E78" w:rsidP="00070E78">
      <w:pPr>
        <w:pStyle w:val="BodyTextGrey"/>
        <w:rPr>
          <w:sz w:val="24"/>
          <w:szCs w:val="24"/>
        </w:rPr>
      </w:pPr>
      <w:r w:rsidRPr="00416A92">
        <w:rPr>
          <w:sz w:val="24"/>
          <w:szCs w:val="24"/>
        </w:rPr>
        <w:t xml:space="preserve">The Fund has built up assets over the years, and continues to receive contribution and other income. </w:t>
      </w:r>
      <w:r w:rsidR="00111305" w:rsidRPr="00416A92">
        <w:rPr>
          <w:sz w:val="24"/>
          <w:szCs w:val="24"/>
        </w:rPr>
        <w:t xml:space="preserve"> </w:t>
      </w:r>
      <w:r w:rsidRPr="00416A92">
        <w:rPr>
          <w:sz w:val="24"/>
          <w:szCs w:val="24"/>
        </w:rPr>
        <w:t>All of this must be invested in a suitable manner, which is the investment strategy.</w:t>
      </w:r>
    </w:p>
    <w:p w14:paraId="68D99F76" w14:textId="42EC66AC" w:rsidR="00070E78" w:rsidRPr="00416A92" w:rsidRDefault="002D4259" w:rsidP="00070E78">
      <w:pPr>
        <w:pStyle w:val="BodyTextGrey"/>
        <w:rPr>
          <w:sz w:val="24"/>
          <w:szCs w:val="24"/>
        </w:rPr>
      </w:pPr>
      <w:r w:rsidRPr="00416A92">
        <w:rPr>
          <w:sz w:val="24"/>
          <w:szCs w:val="24"/>
        </w:rPr>
        <w:t xml:space="preserve">Investment strategy is set by the </w:t>
      </w:r>
      <w:r w:rsidR="00C86041" w:rsidRPr="00416A92">
        <w:rPr>
          <w:sz w:val="24"/>
          <w:szCs w:val="24"/>
        </w:rPr>
        <w:t>A</w:t>
      </w:r>
      <w:r w:rsidRPr="00416A92">
        <w:rPr>
          <w:sz w:val="24"/>
          <w:szCs w:val="24"/>
        </w:rPr>
        <w:t xml:space="preserve">dministering </w:t>
      </w:r>
      <w:r w:rsidR="00C86041" w:rsidRPr="00416A92">
        <w:rPr>
          <w:sz w:val="24"/>
          <w:szCs w:val="24"/>
        </w:rPr>
        <w:t>A</w:t>
      </w:r>
      <w:r w:rsidRPr="00416A92">
        <w:rPr>
          <w:sz w:val="24"/>
          <w:szCs w:val="24"/>
        </w:rPr>
        <w:t>uthority, after consultation with the employers and after taking investment advice.</w:t>
      </w:r>
      <w:r w:rsidR="00070E78" w:rsidRPr="00416A92">
        <w:rPr>
          <w:sz w:val="24"/>
          <w:szCs w:val="24"/>
        </w:rPr>
        <w:t xml:space="preserve">  The precise mix, manager make up and target returns are set out in the </w:t>
      </w:r>
      <w:r w:rsidR="00283E56" w:rsidRPr="00416A92">
        <w:rPr>
          <w:sz w:val="24"/>
          <w:szCs w:val="24"/>
        </w:rPr>
        <w:t xml:space="preserve">Investment Strategy Statement </w:t>
      </w:r>
      <w:r w:rsidRPr="00416A92">
        <w:rPr>
          <w:sz w:val="24"/>
          <w:szCs w:val="24"/>
        </w:rPr>
        <w:t>which is available to members and employers</w:t>
      </w:r>
      <w:r w:rsidR="00070E78" w:rsidRPr="00416A92">
        <w:rPr>
          <w:sz w:val="24"/>
          <w:szCs w:val="24"/>
        </w:rPr>
        <w:t>.</w:t>
      </w:r>
    </w:p>
    <w:p w14:paraId="7FC75046" w14:textId="5C4E7E41" w:rsidR="00070E78" w:rsidRPr="00416A92" w:rsidRDefault="00070E78" w:rsidP="00070E78">
      <w:pPr>
        <w:pStyle w:val="BodyTextGrey"/>
        <w:rPr>
          <w:sz w:val="24"/>
          <w:szCs w:val="24"/>
        </w:rPr>
      </w:pPr>
      <w:r w:rsidRPr="00416A92">
        <w:rPr>
          <w:sz w:val="24"/>
          <w:szCs w:val="24"/>
        </w:rPr>
        <w:t xml:space="preserve">The investment strategy is set for the long-term, but is reviewed from time to time.  Normally a full review is carried out </w:t>
      </w:r>
      <w:r w:rsidR="00283E56" w:rsidRPr="00416A92">
        <w:rPr>
          <w:sz w:val="24"/>
          <w:szCs w:val="24"/>
        </w:rPr>
        <w:t xml:space="preserve">as part of </w:t>
      </w:r>
      <w:r w:rsidRPr="00416A92">
        <w:rPr>
          <w:sz w:val="24"/>
          <w:szCs w:val="24"/>
        </w:rPr>
        <w:t xml:space="preserve">each actuarial valuation, and is kept under review annually between actuarial valuations to ensure that it remains appropriate to the Fund’s liability profile.  </w:t>
      </w:r>
    </w:p>
    <w:p w14:paraId="1C5F888A" w14:textId="65828B11" w:rsidR="00070E78" w:rsidRPr="00416A92" w:rsidRDefault="00070E78" w:rsidP="00070E78">
      <w:pPr>
        <w:pStyle w:val="BodyTextGrey"/>
        <w:rPr>
          <w:sz w:val="24"/>
          <w:szCs w:val="24"/>
        </w:rPr>
      </w:pPr>
      <w:r w:rsidRPr="00416A92">
        <w:rPr>
          <w:sz w:val="24"/>
          <w:szCs w:val="24"/>
        </w:rPr>
        <w:t>The same investment strategy is currently followed for all employers.</w:t>
      </w:r>
    </w:p>
    <w:p w14:paraId="1805DA65" w14:textId="77777777" w:rsidR="002D4259" w:rsidRPr="00416A92" w:rsidRDefault="002D4259" w:rsidP="002D4259">
      <w:pPr>
        <w:pStyle w:val="Heading2Num"/>
        <w:rPr>
          <w:sz w:val="24"/>
          <w:szCs w:val="24"/>
        </w:rPr>
      </w:pPr>
      <w:r w:rsidRPr="00416A92">
        <w:rPr>
          <w:sz w:val="24"/>
          <w:szCs w:val="24"/>
        </w:rPr>
        <w:t>What is the link between funding strategy and investment strategy?</w:t>
      </w:r>
    </w:p>
    <w:p w14:paraId="33981A60" w14:textId="77777777" w:rsidR="002D4259" w:rsidRPr="00416A92" w:rsidRDefault="002D4259" w:rsidP="00070E78">
      <w:pPr>
        <w:pStyle w:val="BodyTextGrey"/>
        <w:rPr>
          <w:sz w:val="24"/>
          <w:szCs w:val="24"/>
        </w:rPr>
      </w:pPr>
      <w:r w:rsidRPr="00416A92">
        <w:rPr>
          <w:sz w:val="24"/>
          <w:szCs w:val="24"/>
        </w:rPr>
        <w:t xml:space="preserve">The Fund must </w:t>
      </w:r>
      <w:r w:rsidR="000F2984" w:rsidRPr="00416A92">
        <w:rPr>
          <w:sz w:val="24"/>
          <w:szCs w:val="24"/>
        </w:rPr>
        <w:t>be able</w:t>
      </w:r>
      <w:r w:rsidRPr="00416A92">
        <w:rPr>
          <w:sz w:val="24"/>
          <w:szCs w:val="24"/>
        </w:rPr>
        <w:t xml:space="preserve"> to meet all benefit payments </w:t>
      </w:r>
      <w:r w:rsidR="000F2984" w:rsidRPr="00416A92">
        <w:rPr>
          <w:sz w:val="24"/>
          <w:szCs w:val="24"/>
        </w:rPr>
        <w:t>as and when they fall due</w:t>
      </w:r>
      <w:r w:rsidRPr="00416A92">
        <w:rPr>
          <w:sz w:val="24"/>
          <w:szCs w:val="24"/>
        </w:rPr>
        <w:t xml:space="preserve">. </w:t>
      </w:r>
      <w:r w:rsidR="00B85EFE" w:rsidRPr="00416A92">
        <w:rPr>
          <w:sz w:val="24"/>
          <w:szCs w:val="24"/>
        </w:rPr>
        <w:t xml:space="preserve"> These </w:t>
      </w:r>
      <w:r w:rsidR="000F2984" w:rsidRPr="00416A92">
        <w:rPr>
          <w:sz w:val="24"/>
          <w:szCs w:val="24"/>
        </w:rPr>
        <w:t xml:space="preserve">payments will be met by </w:t>
      </w:r>
      <w:r w:rsidR="00B85EFE" w:rsidRPr="00416A92">
        <w:rPr>
          <w:sz w:val="24"/>
          <w:szCs w:val="24"/>
        </w:rPr>
        <w:t xml:space="preserve">contributions (resulting from the funding strategy) or asset returns and income (resulting from the investment strategy).  </w:t>
      </w:r>
      <w:r w:rsidRPr="00416A92">
        <w:rPr>
          <w:sz w:val="24"/>
          <w:szCs w:val="24"/>
        </w:rPr>
        <w:t>To the extent that investment returns or income fall short, then higher cash contributions are required from employers, and vice versa</w:t>
      </w:r>
    </w:p>
    <w:p w14:paraId="6D38ABDD" w14:textId="77777777" w:rsidR="002D4259" w:rsidRPr="00416A92" w:rsidRDefault="002D4259" w:rsidP="00070E78">
      <w:pPr>
        <w:pStyle w:val="BodyTextGrey"/>
        <w:rPr>
          <w:sz w:val="24"/>
          <w:szCs w:val="24"/>
        </w:rPr>
      </w:pPr>
      <w:r w:rsidRPr="00416A92">
        <w:rPr>
          <w:sz w:val="24"/>
          <w:szCs w:val="24"/>
        </w:rPr>
        <w:t xml:space="preserve">Therefore, the funding and investment strategies are inextricably linked.  </w:t>
      </w:r>
    </w:p>
    <w:p w14:paraId="32263911" w14:textId="77777777" w:rsidR="004E7660" w:rsidRPr="00416A92" w:rsidRDefault="004E7660" w:rsidP="004E7660">
      <w:pPr>
        <w:pStyle w:val="Heading2Num"/>
        <w:rPr>
          <w:sz w:val="24"/>
          <w:szCs w:val="24"/>
        </w:rPr>
      </w:pPr>
      <w:r w:rsidRPr="00416A92">
        <w:rPr>
          <w:sz w:val="24"/>
          <w:szCs w:val="24"/>
        </w:rPr>
        <w:t>How does the funding strategy reflect the Fund’s investment strategy?</w:t>
      </w:r>
    </w:p>
    <w:p w14:paraId="7F681DB5" w14:textId="7A7F806A" w:rsidR="004E7660" w:rsidRPr="00416A92" w:rsidRDefault="004E7660" w:rsidP="004E7660">
      <w:pPr>
        <w:pStyle w:val="BodyTextGrey"/>
        <w:rPr>
          <w:sz w:val="24"/>
          <w:szCs w:val="24"/>
        </w:rPr>
      </w:pPr>
      <w:r w:rsidRPr="00416A92">
        <w:rPr>
          <w:sz w:val="24"/>
          <w:szCs w:val="24"/>
        </w:rPr>
        <w:t xml:space="preserve">In the opinion of the Fund actuary, the current funding policy is consistent with the current investment strategy of the Fund. </w:t>
      </w:r>
      <w:r w:rsidR="00111305" w:rsidRPr="00416A92">
        <w:rPr>
          <w:sz w:val="24"/>
          <w:szCs w:val="24"/>
        </w:rPr>
        <w:t xml:space="preserve"> </w:t>
      </w:r>
      <w:r w:rsidR="004336B1" w:rsidRPr="00416A92">
        <w:rPr>
          <w:sz w:val="24"/>
          <w:szCs w:val="24"/>
        </w:rPr>
        <w:t xml:space="preserve">The actuary’s assumptions for future investment returns (described further in Appendix E) are based on the current benchmark investment strategy of the Fund. The future investment return assumptions underlying each of the fund’s three funding bases include a margin for prudence, and are therefore also </w:t>
      </w:r>
      <w:r w:rsidRPr="00416A92">
        <w:rPr>
          <w:sz w:val="24"/>
          <w:szCs w:val="24"/>
        </w:rPr>
        <w:t>considered to be consistent with the requirement to take a “prudent longer-term view” of the funding of liabilities as required by the UK Government (see</w:t>
      </w:r>
      <w:r w:rsidR="00283E56" w:rsidRPr="00416A92">
        <w:rPr>
          <w:sz w:val="24"/>
          <w:szCs w:val="24"/>
        </w:rPr>
        <w:t xml:space="preserve"> Appendix</w:t>
      </w:r>
      <w:r w:rsidRPr="00416A92">
        <w:rPr>
          <w:sz w:val="24"/>
          <w:szCs w:val="24"/>
        </w:rPr>
        <w:t xml:space="preserve"> </w:t>
      </w:r>
      <w:hyperlink w:anchor="A1WhyDoesTheFundNeedAFSS" w:history="1">
        <w:r w:rsidRPr="00416A92">
          <w:rPr>
            <w:rStyle w:val="Hyperlink"/>
            <w:sz w:val="24"/>
            <w:szCs w:val="24"/>
          </w:rPr>
          <w:t>A1</w:t>
        </w:r>
      </w:hyperlink>
      <w:r w:rsidRPr="00416A92">
        <w:rPr>
          <w:sz w:val="24"/>
          <w:szCs w:val="24"/>
        </w:rPr>
        <w:t>).</w:t>
      </w:r>
    </w:p>
    <w:p w14:paraId="5848B578" w14:textId="4BC113E6" w:rsidR="004E7660" w:rsidRPr="00416A92" w:rsidRDefault="004336B1" w:rsidP="004E7660">
      <w:pPr>
        <w:pStyle w:val="BodyTextGrey"/>
        <w:rPr>
          <w:sz w:val="24"/>
          <w:szCs w:val="24"/>
        </w:rPr>
      </w:pPr>
      <w:r w:rsidRPr="00416A92">
        <w:rPr>
          <w:sz w:val="24"/>
          <w:szCs w:val="24"/>
        </w:rPr>
        <w:t>In</w:t>
      </w:r>
      <w:r w:rsidR="004E7660" w:rsidRPr="00416A92">
        <w:rPr>
          <w:sz w:val="24"/>
          <w:szCs w:val="24"/>
        </w:rPr>
        <w:t xml:space="preserve"> the short term – such as the three yearly assessments at formal valuations – there is the scope for considerable volatility </w:t>
      </w:r>
      <w:r w:rsidRPr="00416A92">
        <w:rPr>
          <w:sz w:val="24"/>
          <w:szCs w:val="24"/>
        </w:rPr>
        <w:t>in asset values.</w:t>
      </w:r>
      <w:r w:rsidRPr="00416A92" w:rsidDel="004336B1">
        <w:rPr>
          <w:sz w:val="24"/>
          <w:szCs w:val="24"/>
        </w:rPr>
        <w:t xml:space="preserve"> </w:t>
      </w:r>
      <w:r w:rsidR="004E7660" w:rsidRPr="00416A92">
        <w:rPr>
          <w:sz w:val="24"/>
          <w:szCs w:val="24"/>
        </w:rPr>
        <w:t xml:space="preserve">,.  </w:t>
      </w:r>
      <w:r w:rsidRPr="00416A92">
        <w:rPr>
          <w:sz w:val="24"/>
          <w:szCs w:val="24"/>
        </w:rPr>
        <w:t xml:space="preserve">  However, the actuary takes a long term view when assessing employer contribution rates and the contribution rate setting methodology takes into account this potential variability</w:t>
      </w:r>
    </w:p>
    <w:p w14:paraId="78669B3A" w14:textId="7A134C09" w:rsidR="004E7660" w:rsidRPr="00416A92" w:rsidRDefault="004E7660" w:rsidP="004E7660">
      <w:pPr>
        <w:pStyle w:val="BodyTextGrey"/>
        <w:rPr>
          <w:sz w:val="24"/>
          <w:szCs w:val="24"/>
        </w:rPr>
      </w:pPr>
      <w:r w:rsidRPr="00416A92">
        <w:rPr>
          <w:sz w:val="24"/>
          <w:szCs w:val="24"/>
        </w:rPr>
        <w:t xml:space="preserve">The Fund does not hold a contingency reserve to protect it against the volatility of equity investments.  </w:t>
      </w:r>
    </w:p>
    <w:p w14:paraId="6C5BD743" w14:textId="77777777" w:rsidR="00D54272" w:rsidRPr="00416A92" w:rsidRDefault="002E2BA0" w:rsidP="00D54272">
      <w:pPr>
        <w:pStyle w:val="Heading2Num"/>
        <w:rPr>
          <w:sz w:val="24"/>
          <w:szCs w:val="24"/>
        </w:rPr>
      </w:pPr>
      <w:r w:rsidRPr="00416A92">
        <w:rPr>
          <w:sz w:val="24"/>
          <w:szCs w:val="24"/>
        </w:rPr>
        <w:t>Does the Fund monitor</w:t>
      </w:r>
      <w:r w:rsidR="00D54272" w:rsidRPr="00416A92">
        <w:rPr>
          <w:sz w:val="24"/>
          <w:szCs w:val="24"/>
        </w:rPr>
        <w:t xml:space="preserve"> </w:t>
      </w:r>
      <w:r w:rsidRPr="00416A92">
        <w:rPr>
          <w:sz w:val="24"/>
          <w:szCs w:val="24"/>
        </w:rPr>
        <w:t>its overall f</w:t>
      </w:r>
      <w:r w:rsidR="00D54272" w:rsidRPr="00416A92">
        <w:rPr>
          <w:sz w:val="24"/>
          <w:szCs w:val="24"/>
        </w:rPr>
        <w:t>unding position</w:t>
      </w:r>
      <w:r w:rsidRPr="00416A92">
        <w:rPr>
          <w:sz w:val="24"/>
          <w:szCs w:val="24"/>
        </w:rPr>
        <w:t>?</w:t>
      </w:r>
    </w:p>
    <w:p w14:paraId="1A5E10F1" w14:textId="2A4DEED9" w:rsidR="00D54272" w:rsidRPr="00416A92" w:rsidRDefault="009F6791" w:rsidP="00D54272">
      <w:pPr>
        <w:pStyle w:val="BodyTextGrey"/>
        <w:rPr>
          <w:sz w:val="24"/>
          <w:szCs w:val="24"/>
        </w:rPr>
      </w:pPr>
      <w:r w:rsidRPr="009B5375">
        <w:rPr>
          <w:sz w:val="24"/>
          <w:szCs w:val="24"/>
        </w:rPr>
        <w:t>The Administering Authority monitors the relative funding position</w:t>
      </w:r>
      <w:r w:rsidR="002E2BA0" w:rsidRPr="009B5375">
        <w:rPr>
          <w:sz w:val="24"/>
          <w:szCs w:val="24"/>
        </w:rPr>
        <w:t>, i</w:t>
      </w:r>
      <w:r w:rsidR="009D3EDC" w:rsidRPr="009B5375">
        <w:rPr>
          <w:sz w:val="24"/>
          <w:szCs w:val="24"/>
        </w:rPr>
        <w:t>.</w:t>
      </w:r>
      <w:r w:rsidR="002E2BA0" w:rsidRPr="009B5375">
        <w:rPr>
          <w:sz w:val="24"/>
          <w:szCs w:val="24"/>
        </w:rPr>
        <w:t>e</w:t>
      </w:r>
      <w:r w:rsidR="009D3EDC" w:rsidRPr="009B5375">
        <w:rPr>
          <w:sz w:val="24"/>
          <w:szCs w:val="24"/>
        </w:rPr>
        <w:t>.</w:t>
      </w:r>
      <w:r w:rsidR="002E2BA0" w:rsidRPr="009B5375">
        <w:rPr>
          <w:sz w:val="24"/>
          <w:szCs w:val="24"/>
        </w:rPr>
        <w:t xml:space="preserve"> changes in the relationship between asset values and</w:t>
      </w:r>
      <w:r w:rsidRPr="009B5375">
        <w:rPr>
          <w:sz w:val="24"/>
          <w:szCs w:val="24"/>
        </w:rPr>
        <w:t xml:space="preserve"> the liabilities</w:t>
      </w:r>
      <w:r w:rsidR="002E2BA0" w:rsidRPr="009B5375">
        <w:rPr>
          <w:sz w:val="24"/>
          <w:szCs w:val="24"/>
        </w:rPr>
        <w:t xml:space="preserve"> value, </w:t>
      </w:r>
      <w:r w:rsidR="006927B7" w:rsidRPr="009B5375">
        <w:rPr>
          <w:sz w:val="24"/>
          <w:szCs w:val="24"/>
        </w:rPr>
        <w:t>triennially</w:t>
      </w:r>
      <w:r w:rsidR="004336B1" w:rsidRPr="00416A92">
        <w:rPr>
          <w:sz w:val="24"/>
          <w:szCs w:val="24"/>
        </w:rPr>
        <w:t>.</w:t>
      </w:r>
      <w:r w:rsidR="00ED29C5" w:rsidRPr="00416A92">
        <w:rPr>
          <w:sz w:val="24"/>
          <w:szCs w:val="24"/>
        </w:rPr>
        <w:t xml:space="preserve"> </w:t>
      </w:r>
      <w:r w:rsidRPr="00416A92">
        <w:rPr>
          <w:sz w:val="24"/>
          <w:szCs w:val="24"/>
        </w:rPr>
        <w:t xml:space="preserve"> It reports </w:t>
      </w:r>
      <w:r w:rsidR="002E2BA0" w:rsidRPr="00416A92">
        <w:rPr>
          <w:sz w:val="24"/>
          <w:szCs w:val="24"/>
        </w:rPr>
        <w:t xml:space="preserve">this to the regular Pensions Committee meetings, </w:t>
      </w:r>
      <w:r w:rsidR="00354BEE" w:rsidRPr="00416A92">
        <w:rPr>
          <w:sz w:val="24"/>
          <w:szCs w:val="24"/>
        </w:rPr>
        <w:t>with these papers being made public on the Committee’s website</w:t>
      </w:r>
      <w:r w:rsidRPr="00416A92">
        <w:rPr>
          <w:sz w:val="24"/>
          <w:szCs w:val="24"/>
        </w:rPr>
        <w:t>.</w:t>
      </w:r>
    </w:p>
    <w:p w14:paraId="25BC9ABC" w14:textId="77777777" w:rsidR="009F6791" w:rsidRDefault="009F6791">
      <w:pPr>
        <w:spacing w:after="20" w:line="240" w:lineRule="auto"/>
        <w:jc w:val="left"/>
        <w:rPr>
          <w:color w:val="4B4B4B"/>
          <w:lang w:eastAsia="en-US"/>
        </w:rPr>
      </w:pPr>
      <w:r>
        <w:br w:type="page"/>
      </w:r>
    </w:p>
    <w:p w14:paraId="4F88E614" w14:textId="34DC1B55" w:rsidR="00F36C2D" w:rsidRDefault="001B33C5" w:rsidP="00515676">
      <w:pPr>
        <w:pStyle w:val="Heading1Num"/>
      </w:pPr>
      <w:bookmarkStart w:id="34" w:name="_Toc22839044"/>
      <w:bookmarkStart w:id="35" w:name="Section5"/>
      <w:bookmarkStart w:id="36" w:name="_Toc357155092"/>
      <w:r>
        <w:lastRenderedPageBreak/>
        <w:t>Statutory reporting and comparison to other LGPS Funds</w:t>
      </w:r>
      <w:bookmarkEnd w:id="34"/>
    </w:p>
    <w:bookmarkEnd w:id="35"/>
    <w:p w14:paraId="51EF678E" w14:textId="77777777" w:rsidR="00F36C2D" w:rsidRPr="00416A92" w:rsidRDefault="00F36C2D" w:rsidP="00515676">
      <w:pPr>
        <w:pStyle w:val="Heading2Num"/>
        <w:rPr>
          <w:sz w:val="24"/>
          <w:szCs w:val="24"/>
        </w:rPr>
      </w:pPr>
      <w:r w:rsidRPr="00416A92">
        <w:rPr>
          <w:sz w:val="24"/>
          <w:szCs w:val="24"/>
        </w:rPr>
        <w:t>Purpose</w:t>
      </w:r>
    </w:p>
    <w:p w14:paraId="686487B4" w14:textId="04C9B8B4" w:rsidR="00CB4BD6" w:rsidRPr="00416A92" w:rsidRDefault="00F36C2D" w:rsidP="00F36C2D">
      <w:pPr>
        <w:pStyle w:val="BodyTextGrey"/>
        <w:rPr>
          <w:sz w:val="24"/>
          <w:szCs w:val="24"/>
        </w:rPr>
      </w:pPr>
      <w:r w:rsidRPr="00416A92">
        <w:rPr>
          <w:sz w:val="24"/>
          <w:szCs w:val="24"/>
        </w:rPr>
        <w:t>Under Section 13(4)(c) of the Public Service Pensions Act 2013</w:t>
      </w:r>
      <w:r w:rsidR="00FC6D4F" w:rsidRPr="00416A92">
        <w:rPr>
          <w:sz w:val="24"/>
          <w:szCs w:val="24"/>
        </w:rPr>
        <w:t xml:space="preserve"> (“Section 13”)</w:t>
      </w:r>
      <w:r w:rsidR="00CB4BD6" w:rsidRPr="00416A92">
        <w:rPr>
          <w:sz w:val="24"/>
          <w:szCs w:val="24"/>
        </w:rPr>
        <w:t>,</w:t>
      </w:r>
      <w:r w:rsidRPr="00416A92">
        <w:rPr>
          <w:sz w:val="24"/>
          <w:szCs w:val="24"/>
        </w:rPr>
        <w:t xml:space="preserve"> </w:t>
      </w:r>
      <w:r w:rsidR="00CB4BD6" w:rsidRPr="00416A92">
        <w:rPr>
          <w:sz w:val="24"/>
          <w:szCs w:val="24"/>
        </w:rPr>
        <w:t>t</w:t>
      </w:r>
      <w:r w:rsidRPr="00416A92">
        <w:rPr>
          <w:sz w:val="24"/>
          <w:szCs w:val="24"/>
        </w:rPr>
        <w:t xml:space="preserve">he Government Actuary’s Department must, following </w:t>
      </w:r>
      <w:r w:rsidR="00CB4BD6" w:rsidRPr="00416A92">
        <w:rPr>
          <w:sz w:val="24"/>
          <w:szCs w:val="24"/>
        </w:rPr>
        <w:t>each triennial</w:t>
      </w:r>
      <w:r w:rsidRPr="00416A92">
        <w:rPr>
          <w:sz w:val="24"/>
          <w:szCs w:val="24"/>
        </w:rPr>
        <w:t xml:space="preserve"> actuarial valuation, report </w:t>
      </w:r>
      <w:r w:rsidR="00CB4BD6" w:rsidRPr="00416A92">
        <w:rPr>
          <w:sz w:val="24"/>
          <w:szCs w:val="24"/>
        </w:rPr>
        <w:t xml:space="preserve">to the </w:t>
      </w:r>
      <w:r w:rsidR="003E6CB1" w:rsidRPr="00416A92">
        <w:rPr>
          <w:sz w:val="24"/>
          <w:szCs w:val="24"/>
        </w:rPr>
        <w:t>Ministry of Housing ,</w:t>
      </w:r>
      <w:r w:rsidR="00CB4BD6" w:rsidRPr="00416A92">
        <w:rPr>
          <w:sz w:val="24"/>
          <w:szCs w:val="24"/>
        </w:rPr>
        <w:t xml:space="preserve"> Communities &amp; Local Government (</w:t>
      </w:r>
      <w:r w:rsidR="003E6CB1" w:rsidRPr="00416A92">
        <w:rPr>
          <w:sz w:val="24"/>
          <w:szCs w:val="24"/>
        </w:rPr>
        <w:t>MHCLG</w:t>
      </w:r>
      <w:r w:rsidR="00CB4BD6" w:rsidRPr="00416A92">
        <w:rPr>
          <w:sz w:val="24"/>
          <w:szCs w:val="24"/>
        </w:rPr>
        <w:t xml:space="preserve">) </w:t>
      </w:r>
      <w:r w:rsidRPr="00416A92">
        <w:rPr>
          <w:sz w:val="24"/>
          <w:szCs w:val="24"/>
        </w:rPr>
        <w:t xml:space="preserve">on </w:t>
      </w:r>
      <w:r w:rsidR="00CB4BD6" w:rsidRPr="00416A92">
        <w:rPr>
          <w:sz w:val="24"/>
          <w:szCs w:val="24"/>
        </w:rPr>
        <w:t xml:space="preserve">each of the LGPS Funds in England &amp; Wales. This report will cover </w:t>
      </w:r>
      <w:r w:rsidRPr="00416A92">
        <w:rPr>
          <w:sz w:val="24"/>
          <w:szCs w:val="24"/>
        </w:rPr>
        <w:t>whether</w:t>
      </w:r>
      <w:r w:rsidR="00CB4BD6" w:rsidRPr="00416A92">
        <w:rPr>
          <w:sz w:val="24"/>
          <w:szCs w:val="24"/>
        </w:rPr>
        <w:t>, for each Fund,</w:t>
      </w:r>
      <w:r w:rsidRPr="00416A92">
        <w:rPr>
          <w:sz w:val="24"/>
          <w:szCs w:val="24"/>
        </w:rPr>
        <w:t xml:space="preserve"> the rate of employer contributions are set at an appropriate level to ensure </w:t>
      </w:r>
      <w:r w:rsidR="00CB4BD6" w:rsidRPr="00416A92">
        <w:rPr>
          <w:sz w:val="24"/>
          <w:szCs w:val="24"/>
        </w:rPr>
        <w:t xml:space="preserve">both </w:t>
      </w:r>
      <w:r w:rsidRPr="00416A92">
        <w:rPr>
          <w:sz w:val="24"/>
          <w:szCs w:val="24"/>
        </w:rPr>
        <w:t xml:space="preserve">the solvency and the long term cost efficiency of the Fund.  </w:t>
      </w:r>
    </w:p>
    <w:p w14:paraId="73B6EB6A" w14:textId="49BF7D4C" w:rsidR="00F36C2D" w:rsidRPr="00416A92" w:rsidRDefault="00F36C2D" w:rsidP="00F36C2D">
      <w:pPr>
        <w:pStyle w:val="BodyTextGrey"/>
        <w:rPr>
          <w:sz w:val="24"/>
          <w:szCs w:val="24"/>
        </w:rPr>
      </w:pPr>
      <w:r w:rsidRPr="00416A92">
        <w:rPr>
          <w:sz w:val="24"/>
          <w:szCs w:val="24"/>
        </w:rPr>
        <w:t xml:space="preserve">This additional </w:t>
      </w:r>
      <w:r w:rsidR="003E6CB1" w:rsidRPr="00416A92">
        <w:rPr>
          <w:sz w:val="24"/>
          <w:szCs w:val="24"/>
        </w:rPr>
        <w:t>MHCLG</w:t>
      </w:r>
      <w:r w:rsidR="00CB4BD6" w:rsidRPr="00416A92">
        <w:rPr>
          <w:sz w:val="24"/>
          <w:szCs w:val="24"/>
        </w:rPr>
        <w:t xml:space="preserve"> </w:t>
      </w:r>
      <w:r w:rsidRPr="00416A92">
        <w:rPr>
          <w:sz w:val="24"/>
          <w:szCs w:val="24"/>
        </w:rPr>
        <w:t>oversight may have an impact on the strategy for setting contribution rates at future valuations.</w:t>
      </w:r>
    </w:p>
    <w:p w14:paraId="4B723858" w14:textId="77777777" w:rsidR="00F36C2D" w:rsidRPr="00416A92" w:rsidRDefault="00CB4BD6" w:rsidP="00515676">
      <w:pPr>
        <w:pStyle w:val="Heading2Num"/>
        <w:rPr>
          <w:sz w:val="24"/>
          <w:szCs w:val="24"/>
        </w:rPr>
      </w:pPr>
      <w:r w:rsidRPr="00416A92">
        <w:rPr>
          <w:sz w:val="24"/>
          <w:szCs w:val="24"/>
        </w:rPr>
        <w:t>S</w:t>
      </w:r>
      <w:r w:rsidR="00F36C2D" w:rsidRPr="00416A92">
        <w:rPr>
          <w:sz w:val="24"/>
          <w:szCs w:val="24"/>
        </w:rPr>
        <w:t>olvency</w:t>
      </w:r>
    </w:p>
    <w:p w14:paraId="77E8651A" w14:textId="23ABA133" w:rsidR="00CB4BD6" w:rsidRPr="00416A92" w:rsidRDefault="00F36C2D" w:rsidP="00F36C2D">
      <w:pPr>
        <w:pStyle w:val="BodyTextGrey"/>
        <w:rPr>
          <w:sz w:val="24"/>
          <w:szCs w:val="24"/>
        </w:rPr>
      </w:pPr>
      <w:r w:rsidRPr="00416A92">
        <w:rPr>
          <w:sz w:val="24"/>
          <w:szCs w:val="24"/>
        </w:rPr>
        <w:t>For the purposes of Section 13, the rate of employer contributions shall be deemed to have been set at an appropri</w:t>
      </w:r>
      <w:r w:rsidR="00CB4BD6" w:rsidRPr="00416A92">
        <w:rPr>
          <w:sz w:val="24"/>
          <w:szCs w:val="24"/>
        </w:rPr>
        <w:t>ate level to ensure solvency if:</w:t>
      </w:r>
    </w:p>
    <w:p w14:paraId="297B8E2F" w14:textId="77777777" w:rsidR="00CB4BD6" w:rsidRPr="00416A92" w:rsidRDefault="00F36C2D" w:rsidP="00C728B0">
      <w:pPr>
        <w:pStyle w:val="BodyTextGrey"/>
        <w:numPr>
          <w:ilvl w:val="0"/>
          <w:numId w:val="23"/>
        </w:numPr>
        <w:rPr>
          <w:sz w:val="24"/>
          <w:szCs w:val="24"/>
        </w:rPr>
      </w:pPr>
      <w:r w:rsidRPr="00416A92">
        <w:rPr>
          <w:sz w:val="24"/>
          <w:szCs w:val="24"/>
        </w:rPr>
        <w:t>the rate of employer contributions is set to target a funding level for the Fund of 100%</w:t>
      </w:r>
      <w:r w:rsidR="001B33C5" w:rsidRPr="00416A92">
        <w:rPr>
          <w:sz w:val="24"/>
          <w:szCs w:val="24"/>
        </w:rPr>
        <w:t>,</w:t>
      </w:r>
      <w:r w:rsidRPr="00416A92">
        <w:rPr>
          <w:sz w:val="24"/>
          <w:szCs w:val="24"/>
        </w:rPr>
        <w:t xml:space="preserve"> over an appropriate time period and using appropriate actuarial assumptions (where appropriateness is considered in both absolute and relative terms in comparison with other funds); and either </w:t>
      </w:r>
    </w:p>
    <w:p w14:paraId="040A5EBF" w14:textId="77777777" w:rsidR="00F36C2D" w:rsidRPr="00416A92" w:rsidRDefault="00F36C2D" w:rsidP="00C728B0">
      <w:pPr>
        <w:pStyle w:val="BodyTextGrey"/>
        <w:numPr>
          <w:ilvl w:val="0"/>
          <w:numId w:val="23"/>
        </w:numPr>
        <w:rPr>
          <w:sz w:val="24"/>
          <w:szCs w:val="24"/>
        </w:rPr>
      </w:pPr>
      <w:r w:rsidRPr="00416A92">
        <w:rPr>
          <w:sz w:val="24"/>
          <w:szCs w:val="24"/>
        </w:rPr>
        <w:t>employers collectively have the financial capacity to increase employer contributions, and/or the Fund is able to realise contingent assets should future circumstances require, in order to continue to target a funding level of 100%; or</w:t>
      </w:r>
    </w:p>
    <w:p w14:paraId="1CE1654F" w14:textId="0A53DED3" w:rsidR="00F36C2D" w:rsidRPr="00416A92" w:rsidRDefault="00F36C2D" w:rsidP="00C728B0">
      <w:pPr>
        <w:pStyle w:val="BulletHymans"/>
        <w:numPr>
          <w:ilvl w:val="0"/>
          <w:numId w:val="23"/>
        </w:numPr>
        <w:rPr>
          <w:sz w:val="24"/>
          <w:szCs w:val="24"/>
        </w:rPr>
      </w:pPr>
      <w:r w:rsidRPr="00416A92">
        <w:rPr>
          <w:sz w:val="24"/>
          <w:szCs w:val="24"/>
        </w:rPr>
        <w:t xml:space="preserve">there is an appropriate plan in place should there be, or if there is expected in future to be, a material reduction in the capacity of fund employers to increase contributions as might be needed.  </w:t>
      </w:r>
    </w:p>
    <w:p w14:paraId="0DF849B7" w14:textId="77777777" w:rsidR="00F36C2D" w:rsidRPr="00416A92" w:rsidRDefault="00CB4BD6" w:rsidP="00515676">
      <w:pPr>
        <w:pStyle w:val="Heading2Num"/>
        <w:rPr>
          <w:sz w:val="24"/>
          <w:szCs w:val="24"/>
        </w:rPr>
      </w:pPr>
      <w:r w:rsidRPr="00416A92">
        <w:rPr>
          <w:sz w:val="24"/>
          <w:szCs w:val="24"/>
        </w:rPr>
        <w:t xml:space="preserve">Long Term </w:t>
      </w:r>
      <w:r w:rsidR="00F36C2D" w:rsidRPr="00416A92">
        <w:rPr>
          <w:sz w:val="24"/>
          <w:szCs w:val="24"/>
        </w:rPr>
        <w:t xml:space="preserve">Cost </w:t>
      </w:r>
      <w:r w:rsidR="001B33C5" w:rsidRPr="00416A92">
        <w:rPr>
          <w:sz w:val="24"/>
          <w:szCs w:val="24"/>
        </w:rPr>
        <w:t>E</w:t>
      </w:r>
      <w:r w:rsidR="00F36C2D" w:rsidRPr="00416A92">
        <w:rPr>
          <w:sz w:val="24"/>
          <w:szCs w:val="24"/>
        </w:rPr>
        <w:t>fficiency</w:t>
      </w:r>
    </w:p>
    <w:p w14:paraId="0930A5EF" w14:textId="77777777" w:rsidR="001B33C5" w:rsidRPr="00416A92" w:rsidRDefault="00F36C2D" w:rsidP="00F36C2D">
      <w:pPr>
        <w:pStyle w:val="BodyTextGrey"/>
        <w:rPr>
          <w:sz w:val="24"/>
          <w:szCs w:val="24"/>
        </w:rPr>
      </w:pPr>
      <w:r w:rsidRPr="00416A92">
        <w:rPr>
          <w:sz w:val="24"/>
          <w:szCs w:val="24"/>
        </w:rPr>
        <w:t>The rate of employer contributions shall be deemed to have been set at an appropriate level to ensu</w:t>
      </w:r>
      <w:r w:rsidR="001B33C5" w:rsidRPr="00416A92">
        <w:rPr>
          <w:sz w:val="24"/>
          <w:szCs w:val="24"/>
        </w:rPr>
        <w:t>re long term cost efficiency if:</w:t>
      </w:r>
    </w:p>
    <w:p w14:paraId="2A5A7AFF" w14:textId="77777777" w:rsidR="001B33C5" w:rsidRPr="00416A92" w:rsidRDefault="00F36C2D" w:rsidP="00C728B0">
      <w:pPr>
        <w:pStyle w:val="BodyTextGrey"/>
        <w:numPr>
          <w:ilvl w:val="0"/>
          <w:numId w:val="47"/>
        </w:numPr>
        <w:ind w:hanging="218"/>
        <w:rPr>
          <w:sz w:val="24"/>
          <w:szCs w:val="24"/>
        </w:rPr>
      </w:pPr>
      <w:r w:rsidRPr="00416A92">
        <w:rPr>
          <w:sz w:val="24"/>
          <w:szCs w:val="24"/>
        </w:rPr>
        <w:t>the rate of employer contributions is sufficient to make provision for the c</w:t>
      </w:r>
      <w:r w:rsidR="001B33C5" w:rsidRPr="00416A92">
        <w:rPr>
          <w:sz w:val="24"/>
          <w:szCs w:val="24"/>
        </w:rPr>
        <w:t>ost of current benefit accrual,</w:t>
      </w:r>
    </w:p>
    <w:p w14:paraId="6C2D52D0" w14:textId="77777777" w:rsidR="001B33C5" w:rsidRPr="00416A92" w:rsidRDefault="00F36C2D" w:rsidP="00C728B0">
      <w:pPr>
        <w:pStyle w:val="BodyTextGrey"/>
        <w:numPr>
          <w:ilvl w:val="0"/>
          <w:numId w:val="47"/>
        </w:numPr>
        <w:ind w:hanging="218"/>
        <w:rPr>
          <w:sz w:val="24"/>
          <w:szCs w:val="24"/>
        </w:rPr>
      </w:pPr>
      <w:r w:rsidRPr="00416A92">
        <w:rPr>
          <w:sz w:val="24"/>
          <w:szCs w:val="24"/>
        </w:rPr>
        <w:t xml:space="preserve">with an appropriate adjustment to that rate for any surplus or deficit in the </w:t>
      </w:r>
      <w:r w:rsidR="001B33C5" w:rsidRPr="00416A92">
        <w:rPr>
          <w:sz w:val="24"/>
          <w:szCs w:val="24"/>
        </w:rPr>
        <w:t>F</w:t>
      </w:r>
      <w:r w:rsidRPr="00416A92">
        <w:rPr>
          <w:sz w:val="24"/>
          <w:szCs w:val="24"/>
        </w:rPr>
        <w:t>und.</w:t>
      </w:r>
    </w:p>
    <w:p w14:paraId="21CEEF06" w14:textId="5236B762" w:rsidR="00F36C2D" w:rsidRPr="00416A92" w:rsidRDefault="00F36C2D" w:rsidP="00F36C2D">
      <w:pPr>
        <w:pStyle w:val="BodyTextGrey"/>
        <w:rPr>
          <w:sz w:val="24"/>
          <w:szCs w:val="24"/>
        </w:rPr>
      </w:pPr>
      <w:r w:rsidRPr="00416A92">
        <w:rPr>
          <w:sz w:val="24"/>
          <w:szCs w:val="24"/>
        </w:rPr>
        <w:t xml:space="preserve">In assessing whether the above condition is met, </w:t>
      </w:r>
      <w:r w:rsidR="003E6CB1" w:rsidRPr="00416A92">
        <w:rPr>
          <w:sz w:val="24"/>
          <w:szCs w:val="24"/>
        </w:rPr>
        <w:t>MHCLG</w:t>
      </w:r>
      <w:r w:rsidRPr="00416A92">
        <w:rPr>
          <w:sz w:val="24"/>
          <w:szCs w:val="24"/>
        </w:rPr>
        <w:t xml:space="preserve"> may have regard to </w:t>
      </w:r>
      <w:r w:rsidR="001B33C5" w:rsidRPr="00416A92">
        <w:rPr>
          <w:sz w:val="24"/>
          <w:szCs w:val="24"/>
        </w:rPr>
        <w:t xml:space="preserve">various </w:t>
      </w:r>
      <w:r w:rsidRPr="00416A92">
        <w:rPr>
          <w:sz w:val="24"/>
          <w:szCs w:val="24"/>
        </w:rPr>
        <w:t xml:space="preserve">absolute and relative considerations.  A relative consideration is primarily concerned with comparing LGPS pension funds with other LGPS pension funds.  An absolute consideration is primarily concerned with comparing </w:t>
      </w:r>
      <w:r w:rsidR="001B33C5" w:rsidRPr="00416A92">
        <w:rPr>
          <w:sz w:val="24"/>
          <w:szCs w:val="24"/>
        </w:rPr>
        <w:t>F</w:t>
      </w:r>
      <w:r w:rsidRPr="00416A92">
        <w:rPr>
          <w:sz w:val="24"/>
          <w:szCs w:val="24"/>
        </w:rPr>
        <w:t xml:space="preserve">unds with </w:t>
      </w:r>
      <w:r w:rsidR="001B33C5" w:rsidRPr="00416A92">
        <w:rPr>
          <w:sz w:val="24"/>
          <w:szCs w:val="24"/>
        </w:rPr>
        <w:t>a given objective benchmark</w:t>
      </w:r>
      <w:r w:rsidRPr="00416A92">
        <w:rPr>
          <w:sz w:val="24"/>
          <w:szCs w:val="24"/>
        </w:rPr>
        <w:t>.</w:t>
      </w:r>
    </w:p>
    <w:p w14:paraId="1AB47D98" w14:textId="77777777" w:rsidR="00F36C2D" w:rsidRPr="00416A92" w:rsidRDefault="00F36C2D" w:rsidP="00F36C2D">
      <w:pPr>
        <w:pStyle w:val="BodyTextGrey"/>
        <w:rPr>
          <w:sz w:val="24"/>
          <w:szCs w:val="24"/>
        </w:rPr>
      </w:pPr>
      <w:r w:rsidRPr="00416A92">
        <w:rPr>
          <w:sz w:val="24"/>
          <w:szCs w:val="24"/>
        </w:rPr>
        <w:t>Relative considerations include:</w:t>
      </w:r>
    </w:p>
    <w:p w14:paraId="1942DD7A" w14:textId="77777777" w:rsidR="00F36C2D" w:rsidRPr="00416A92" w:rsidRDefault="00F36C2D" w:rsidP="00C728B0">
      <w:pPr>
        <w:pStyle w:val="BulletHymans"/>
        <w:numPr>
          <w:ilvl w:val="0"/>
          <w:numId w:val="49"/>
        </w:numPr>
        <w:rPr>
          <w:sz w:val="24"/>
          <w:szCs w:val="24"/>
        </w:rPr>
      </w:pPr>
      <w:r w:rsidRPr="00416A92">
        <w:rPr>
          <w:sz w:val="24"/>
          <w:szCs w:val="24"/>
        </w:rPr>
        <w:t>the implied deficit recovery period; and</w:t>
      </w:r>
    </w:p>
    <w:p w14:paraId="35376012" w14:textId="77777777" w:rsidR="00F36C2D" w:rsidRPr="00416A92" w:rsidRDefault="00F36C2D" w:rsidP="00C728B0">
      <w:pPr>
        <w:pStyle w:val="BulletHymans"/>
        <w:numPr>
          <w:ilvl w:val="0"/>
          <w:numId w:val="49"/>
        </w:numPr>
        <w:rPr>
          <w:sz w:val="24"/>
          <w:szCs w:val="24"/>
        </w:rPr>
      </w:pPr>
      <w:r w:rsidRPr="00416A92">
        <w:rPr>
          <w:sz w:val="24"/>
          <w:szCs w:val="24"/>
        </w:rPr>
        <w:t xml:space="preserve">the investment return required to achieve full funding after 20 years. </w:t>
      </w:r>
    </w:p>
    <w:p w14:paraId="4AA5D511" w14:textId="77777777" w:rsidR="00515676" w:rsidRPr="00416A92" w:rsidRDefault="00515676">
      <w:pPr>
        <w:spacing w:after="20" w:line="240" w:lineRule="auto"/>
        <w:jc w:val="left"/>
        <w:rPr>
          <w:color w:val="4B4B4B"/>
          <w:sz w:val="24"/>
          <w:szCs w:val="24"/>
          <w:lang w:eastAsia="en-US"/>
        </w:rPr>
      </w:pPr>
      <w:r w:rsidRPr="00416A92">
        <w:rPr>
          <w:sz w:val="24"/>
          <w:szCs w:val="24"/>
        </w:rPr>
        <w:br w:type="page"/>
      </w:r>
    </w:p>
    <w:p w14:paraId="286D68B5" w14:textId="4C9D53D4" w:rsidR="00F36C2D" w:rsidRPr="00416A92" w:rsidRDefault="00F36C2D" w:rsidP="00F36C2D">
      <w:pPr>
        <w:pStyle w:val="BodyTextGrey"/>
        <w:rPr>
          <w:sz w:val="24"/>
          <w:szCs w:val="24"/>
        </w:rPr>
      </w:pPr>
      <w:r w:rsidRPr="00416A92">
        <w:rPr>
          <w:sz w:val="24"/>
          <w:szCs w:val="24"/>
        </w:rPr>
        <w:lastRenderedPageBreak/>
        <w:t>Absolute considerations include:</w:t>
      </w:r>
    </w:p>
    <w:p w14:paraId="0856BD40" w14:textId="77777777" w:rsidR="00F36C2D" w:rsidRPr="00416A92" w:rsidRDefault="00F36C2D" w:rsidP="00C728B0">
      <w:pPr>
        <w:pStyle w:val="BulletHymans"/>
        <w:numPr>
          <w:ilvl w:val="0"/>
          <w:numId w:val="50"/>
        </w:numPr>
        <w:rPr>
          <w:sz w:val="24"/>
          <w:szCs w:val="24"/>
        </w:rPr>
      </w:pPr>
      <w:r w:rsidRPr="00416A92">
        <w:rPr>
          <w:sz w:val="24"/>
          <w:szCs w:val="24"/>
        </w:rPr>
        <w:t xml:space="preserve">the extent to which the contributions payable are sufficient to cover the cost of current benefit accrual and the interest cost on </w:t>
      </w:r>
      <w:r w:rsidR="001B33C5" w:rsidRPr="00416A92">
        <w:rPr>
          <w:sz w:val="24"/>
          <w:szCs w:val="24"/>
        </w:rPr>
        <w:t>any</w:t>
      </w:r>
      <w:r w:rsidRPr="00416A92">
        <w:rPr>
          <w:sz w:val="24"/>
          <w:szCs w:val="24"/>
        </w:rPr>
        <w:t xml:space="preserve"> deficit;</w:t>
      </w:r>
    </w:p>
    <w:p w14:paraId="02A6FD65" w14:textId="77777777" w:rsidR="00F36C2D" w:rsidRPr="00416A92" w:rsidRDefault="001B33C5" w:rsidP="00C728B0">
      <w:pPr>
        <w:pStyle w:val="BulletHymans"/>
        <w:numPr>
          <w:ilvl w:val="0"/>
          <w:numId w:val="50"/>
        </w:numPr>
        <w:rPr>
          <w:sz w:val="24"/>
          <w:szCs w:val="24"/>
        </w:rPr>
      </w:pPr>
      <w:r w:rsidRPr="00416A92">
        <w:rPr>
          <w:sz w:val="24"/>
          <w:szCs w:val="24"/>
        </w:rPr>
        <w:t>how</w:t>
      </w:r>
      <w:r w:rsidR="00F36C2D" w:rsidRPr="00416A92">
        <w:rPr>
          <w:sz w:val="24"/>
          <w:szCs w:val="24"/>
        </w:rPr>
        <w:t xml:space="preserve"> the required investment return under “relative considerations” above </w:t>
      </w:r>
      <w:r w:rsidRPr="00416A92">
        <w:rPr>
          <w:sz w:val="24"/>
          <w:szCs w:val="24"/>
        </w:rPr>
        <w:t>compares to</w:t>
      </w:r>
      <w:r w:rsidR="00F36C2D" w:rsidRPr="00416A92">
        <w:rPr>
          <w:sz w:val="24"/>
          <w:szCs w:val="24"/>
        </w:rPr>
        <w:t xml:space="preserve"> the estimated future return being targeted by the Fund’s </w:t>
      </w:r>
      <w:r w:rsidRPr="00416A92">
        <w:rPr>
          <w:sz w:val="24"/>
          <w:szCs w:val="24"/>
        </w:rPr>
        <w:t xml:space="preserve">current </w:t>
      </w:r>
      <w:r w:rsidR="00F36C2D" w:rsidRPr="00416A92">
        <w:rPr>
          <w:sz w:val="24"/>
          <w:szCs w:val="24"/>
        </w:rPr>
        <w:t xml:space="preserve">investment strategy; </w:t>
      </w:r>
    </w:p>
    <w:p w14:paraId="5B53C78F" w14:textId="77777777" w:rsidR="00F36C2D" w:rsidRPr="00416A92" w:rsidRDefault="00F36C2D" w:rsidP="00C728B0">
      <w:pPr>
        <w:pStyle w:val="BulletHymans"/>
        <w:numPr>
          <w:ilvl w:val="0"/>
          <w:numId w:val="50"/>
        </w:numPr>
        <w:rPr>
          <w:sz w:val="24"/>
          <w:szCs w:val="24"/>
        </w:rPr>
      </w:pPr>
      <w:r w:rsidRPr="00416A92">
        <w:rPr>
          <w:sz w:val="24"/>
          <w:szCs w:val="24"/>
        </w:rPr>
        <w:t xml:space="preserve">the extent to which contributions actually paid have been in line with the expected contributions based on the extant rates and adjustment certificate; and </w:t>
      </w:r>
    </w:p>
    <w:p w14:paraId="381B97D0" w14:textId="77777777" w:rsidR="00F36C2D" w:rsidRPr="00416A92" w:rsidRDefault="00F36C2D" w:rsidP="00C728B0">
      <w:pPr>
        <w:pStyle w:val="BulletHymans"/>
        <w:numPr>
          <w:ilvl w:val="0"/>
          <w:numId w:val="50"/>
        </w:numPr>
        <w:rPr>
          <w:sz w:val="24"/>
          <w:szCs w:val="24"/>
        </w:rPr>
      </w:pPr>
      <w:r w:rsidRPr="00416A92">
        <w:rPr>
          <w:sz w:val="24"/>
          <w:szCs w:val="24"/>
        </w:rPr>
        <w:t xml:space="preserve">the extent to which any new deficit recovery plan can be directly reconciled with, and can be demonstrated to be a continuation of, any previous deficit recovery plan, after allowing for actual Fund experience. </w:t>
      </w:r>
    </w:p>
    <w:p w14:paraId="159BCF65" w14:textId="1825FE39" w:rsidR="00F36C2D" w:rsidRPr="00EE2337" w:rsidRDefault="003E6CB1" w:rsidP="00515676">
      <w:pPr>
        <w:pStyle w:val="BodyTextGrey"/>
        <w:rPr>
          <w:rFonts w:ascii="Times New Roman" w:hAnsi="Times New Roman" w:cs="Times New Roman"/>
          <w:color w:val="auto"/>
          <w:sz w:val="24"/>
          <w:szCs w:val="24"/>
        </w:rPr>
      </w:pPr>
      <w:r w:rsidRPr="00416A92">
        <w:rPr>
          <w:sz w:val="24"/>
          <w:szCs w:val="24"/>
        </w:rPr>
        <w:t>MHCLG</w:t>
      </w:r>
      <w:r w:rsidR="00F36C2D" w:rsidRPr="00416A92">
        <w:rPr>
          <w:sz w:val="24"/>
          <w:szCs w:val="24"/>
        </w:rPr>
        <w:t xml:space="preserve"> may assess and compare these metrics on a suitable standardised market-related basis, for example where the local funds’ actuarial bases do not make comparisons straightforward.</w:t>
      </w:r>
      <w:r w:rsidR="00F36C2D" w:rsidRPr="00EE2337">
        <w:rPr>
          <w:rFonts w:ascii="Times New Roman" w:hAnsi="Times New Roman" w:cs="Times New Roman"/>
          <w:color w:val="auto"/>
          <w:sz w:val="24"/>
          <w:szCs w:val="24"/>
        </w:rPr>
        <w:t xml:space="preserve"> </w:t>
      </w:r>
    </w:p>
    <w:p w14:paraId="15701E73" w14:textId="4301CA0A" w:rsidR="009F6791" w:rsidRDefault="009F6791" w:rsidP="00F36C2D">
      <w:pPr>
        <w:pStyle w:val="Appendix1"/>
      </w:pPr>
      <w:bookmarkStart w:id="37" w:name="AppendixA"/>
      <w:r>
        <w:lastRenderedPageBreak/>
        <w:t>Appendix A – Regulatory framework</w:t>
      </w:r>
      <w:bookmarkEnd w:id="36"/>
    </w:p>
    <w:bookmarkEnd w:id="37"/>
    <w:p w14:paraId="094CE391" w14:textId="77777777" w:rsidR="009F6791" w:rsidRPr="00416A92" w:rsidRDefault="009F6791" w:rsidP="009F6791">
      <w:pPr>
        <w:pStyle w:val="Appendix2"/>
        <w:rPr>
          <w:sz w:val="24"/>
          <w:szCs w:val="24"/>
        </w:rPr>
      </w:pPr>
      <w:r w:rsidRPr="00416A92">
        <w:rPr>
          <w:sz w:val="24"/>
          <w:szCs w:val="24"/>
        </w:rPr>
        <w:t>A1</w:t>
      </w:r>
      <w:r w:rsidRPr="00416A92">
        <w:rPr>
          <w:sz w:val="24"/>
          <w:szCs w:val="24"/>
        </w:rPr>
        <w:tab/>
      </w:r>
      <w:bookmarkStart w:id="38" w:name="A1WhyDoesTheFundNeedAFSS"/>
      <w:r w:rsidRPr="00416A92">
        <w:rPr>
          <w:sz w:val="24"/>
          <w:szCs w:val="24"/>
        </w:rPr>
        <w:t xml:space="preserve">Why does the Fund </w:t>
      </w:r>
      <w:r w:rsidR="004A402B" w:rsidRPr="00416A92">
        <w:rPr>
          <w:sz w:val="24"/>
          <w:szCs w:val="24"/>
        </w:rPr>
        <w:t>need an FSS?</w:t>
      </w:r>
    </w:p>
    <w:bookmarkEnd w:id="38"/>
    <w:p w14:paraId="65C2F795" w14:textId="60775C62" w:rsidR="009F6791" w:rsidRPr="00416A92" w:rsidRDefault="009F6791" w:rsidP="009F6791">
      <w:pPr>
        <w:pStyle w:val="BodyTextGrey"/>
        <w:rPr>
          <w:sz w:val="24"/>
          <w:szCs w:val="24"/>
        </w:rPr>
      </w:pPr>
      <w:r w:rsidRPr="00416A92">
        <w:rPr>
          <w:sz w:val="24"/>
          <w:szCs w:val="24"/>
        </w:rPr>
        <w:t xml:space="preserve">The </w:t>
      </w:r>
      <w:r w:rsidR="003E6CB1" w:rsidRPr="00416A92">
        <w:rPr>
          <w:sz w:val="24"/>
          <w:szCs w:val="24"/>
        </w:rPr>
        <w:t>Ministry of Housing,</w:t>
      </w:r>
      <w:r w:rsidRPr="00416A92">
        <w:rPr>
          <w:sz w:val="24"/>
          <w:szCs w:val="24"/>
        </w:rPr>
        <w:t xml:space="preserve"> Communities and Local Government (</w:t>
      </w:r>
      <w:r w:rsidR="003E6CB1" w:rsidRPr="00416A92">
        <w:rPr>
          <w:sz w:val="24"/>
          <w:szCs w:val="24"/>
        </w:rPr>
        <w:t>MHCLG</w:t>
      </w:r>
      <w:r w:rsidRPr="00416A92">
        <w:rPr>
          <w:sz w:val="24"/>
          <w:szCs w:val="24"/>
        </w:rPr>
        <w:t xml:space="preserve">) has stated that the purpose of the FSS is: </w:t>
      </w:r>
    </w:p>
    <w:p w14:paraId="03A0FB08" w14:textId="77777777" w:rsidR="009F6791" w:rsidRPr="00416A92" w:rsidRDefault="009F6791" w:rsidP="009F6791">
      <w:pPr>
        <w:pStyle w:val="BulletHymans"/>
        <w:rPr>
          <w:i/>
          <w:sz w:val="24"/>
          <w:szCs w:val="24"/>
        </w:rPr>
      </w:pPr>
      <w:r w:rsidRPr="00416A92">
        <w:rPr>
          <w:i/>
          <w:sz w:val="24"/>
          <w:szCs w:val="24"/>
        </w:rPr>
        <w:t xml:space="preserve">“to establish a </w:t>
      </w:r>
      <w:r w:rsidRPr="00416A92">
        <w:rPr>
          <w:b/>
          <w:i/>
          <w:sz w:val="24"/>
          <w:szCs w:val="24"/>
        </w:rPr>
        <w:t>clear and transparent fund-specific strategy</w:t>
      </w:r>
      <w:r w:rsidRPr="00416A92">
        <w:rPr>
          <w:i/>
          <w:sz w:val="24"/>
          <w:szCs w:val="24"/>
        </w:rPr>
        <w:t xml:space="preserve"> which will identify how employers’ pension liabilities are best met going forward;</w:t>
      </w:r>
    </w:p>
    <w:p w14:paraId="51CB0499" w14:textId="77777777" w:rsidR="009F6791" w:rsidRPr="00416A92" w:rsidRDefault="009F6791" w:rsidP="009F6791">
      <w:pPr>
        <w:pStyle w:val="BulletHymans"/>
        <w:rPr>
          <w:i/>
          <w:sz w:val="24"/>
          <w:szCs w:val="24"/>
        </w:rPr>
      </w:pPr>
      <w:r w:rsidRPr="00416A92">
        <w:rPr>
          <w:i/>
          <w:sz w:val="24"/>
          <w:szCs w:val="24"/>
        </w:rPr>
        <w:t xml:space="preserve">to support the regulatory framework to maintain </w:t>
      </w:r>
      <w:r w:rsidRPr="00416A92">
        <w:rPr>
          <w:b/>
          <w:i/>
          <w:sz w:val="24"/>
          <w:szCs w:val="24"/>
        </w:rPr>
        <w:t>as nearly constant employer contribution rates as possible</w:t>
      </w:r>
      <w:r w:rsidRPr="00416A92">
        <w:rPr>
          <w:i/>
          <w:sz w:val="24"/>
          <w:szCs w:val="24"/>
        </w:rPr>
        <w:t xml:space="preserve">; and   </w:t>
      </w:r>
    </w:p>
    <w:p w14:paraId="747C3F3D" w14:textId="77777777" w:rsidR="009F6791" w:rsidRPr="00416A92" w:rsidRDefault="009F6791" w:rsidP="009F6791">
      <w:pPr>
        <w:pStyle w:val="BulletHymans"/>
        <w:rPr>
          <w:i/>
          <w:sz w:val="24"/>
          <w:szCs w:val="24"/>
        </w:rPr>
      </w:pPr>
      <w:r w:rsidRPr="00416A92">
        <w:rPr>
          <w:i/>
          <w:sz w:val="24"/>
          <w:szCs w:val="24"/>
        </w:rPr>
        <w:t xml:space="preserve">to take a </w:t>
      </w:r>
      <w:r w:rsidRPr="00416A92">
        <w:rPr>
          <w:b/>
          <w:i/>
          <w:sz w:val="24"/>
          <w:szCs w:val="24"/>
        </w:rPr>
        <w:t>prudent longer-term view</w:t>
      </w:r>
      <w:r w:rsidRPr="00416A92">
        <w:rPr>
          <w:i/>
          <w:sz w:val="24"/>
          <w:szCs w:val="24"/>
        </w:rPr>
        <w:t xml:space="preserve"> of funding those liabilities.”</w:t>
      </w:r>
    </w:p>
    <w:p w14:paraId="5D93094F" w14:textId="77777777" w:rsidR="009F6791" w:rsidRPr="00416A92" w:rsidRDefault="009F6791" w:rsidP="009F6791">
      <w:pPr>
        <w:pStyle w:val="BodyTextGrey"/>
        <w:rPr>
          <w:sz w:val="24"/>
          <w:szCs w:val="24"/>
        </w:rPr>
      </w:pPr>
      <w:r w:rsidRPr="00416A92">
        <w:rPr>
          <w:sz w:val="24"/>
          <w:szCs w:val="24"/>
        </w:rPr>
        <w:t>These objectives are desirable individually, but may be mutually conflicting.</w:t>
      </w:r>
    </w:p>
    <w:p w14:paraId="6CD9092B" w14:textId="2EE7DC6E" w:rsidR="009F6791" w:rsidRPr="00416A92" w:rsidRDefault="009F6791" w:rsidP="009F6791">
      <w:pPr>
        <w:pStyle w:val="BodyTextGrey"/>
        <w:rPr>
          <w:sz w:val="24"/>
          <w:szCs w:val="24"/>
        </w:rPr>
      </w:pPr>
      <w:r w:rsidRPr="00416A92">
        <w:rPr>
          <w:sz w:val="24"/>
          <w:szCs w:val="24"/>
        </w:rPr>
        <w:t xml:space="preserve">The requirement to maintain and publish a FSS is contained in LGPS Regulations which are updated from time to time.  In publishing the FSS the </w:t>
      </w:r>
      <w:r w:rsidR="00F83F3E" w:rsidRPr="00416A92">
        <w:rPr>
          <w:sz w:val="24"/>
          <w:szCs w:val="24"/>
        </w:rPr>
        <w:t>Administering A</w:t>
      </w:r>
      <w:r w:rsidRPr="00416A92">
        <w:rPr>
          <w:sz w:val="24"/>
          <w:szCs w:val="24"/>
        </w:rPr>
        <w:t xml:space="preserve">uthority has to have regard to any guidance published by </w:t>
      </w:r>
      <w:r w:rsidR="00AD4F4A" w:rsidRPr="00416A92">
        <w:rPr>
          <w:sz w:val="24"/>
          <w:szCs w:val="24"/>
        </w:rPr>
        <w:t>Chartered Institute of Public Finance and Accountancy (</w:t>
      </w:r>
      <w:r w:rsidRPr="00416A92">
        <w:rPr>
          <w:sz w:val="24"/>
          <w:szCs w:val="24"/>
        </w:rPr>
        <w:t>CIPFA</w:t>
      </w:r>
      <w:r w:rsidR="00AD4F4A" w:rsidRPr="00416A92">
        <w:rPr>
          <w:sz w:val="24"/>
          <w:szCs w:val="24"/>
        </w:rPr>
        <w:t>)</w:t>
      </w:r>
      <w:r w:rsidRPr="00416A92">
        <w:rPr>
          <w:sz w:val="24"/>
          <w:szCs w:val="24"/>
        </w:rPr>
        <w:t xml:space="preserve"> (most recently in 201</w:t>
      </w:r>
      <w:r w:rsidR="001B33C5" w:rsidRPr="00416A92">
        <w:rPr>
          <w:sz w:val="24"/>
          <w:szCs w:val="24"/>
        </w:rPr>
        <w:t>6</w:t>
      </w:r>
      <w:r w:rsidRPr="00416A92">
        <w:rPr>
          <w:sz w:val="24"/>
          <w:szCs w:val="24"/>
        </w:rPr>
        <w:t xml:space="preserve">) and to </w:t>
      </w:r>
      <w:r w:rsidR="00F83F3E" w:rsidRPr="00416A92">
        <w:rPr>
          <w:sz w:val="24"/>
          <w:szCs w:val="24"/>
        </w:rPr>
        <w:t>its</w:t>
      </w:r>
      <w:r w:rsidRPr="00416A92">
        <w:rPr>
          <w:sz w:val="24"/>
          <w:szCs w:val="24"/>
        </w:rPr>
        <w:t xml:space="preserve"> Statement of Investment Principles</w:t>
      </w:r>
      <w:r w:rsidR="00FF4957" w:rsidRPr="00416A92">
        <w:rPr>
          <w:sz w:val="24"/>
          <w:szCs w:val="24"/>
        </w:rPr>
        <w:t xml:space="preserve"> / Investment Strategy Statement</w:t>
      </w:r>
      <w:r w:rsidRPr="00416A92">
        <w:rPr>
          <w:sz w:val="24"/>
          <w:szCs w:val="24"/>
        </w:rPr>
        <w:t>.</w:t>
      </w:r>
    </w:p>
    <w:p w14:paraId="5D419EEB" w14:textId="77777777" w:rsidR="009F6791" w:rsidRPr="00416A92" w:rsidRDefault="009F6791" w:rsidP="009F6791">
      <w:pPr>
        <w:pStyle w:val="BodyTextGrey"/>
        <w:rPr>
          <w:sz w:val="24"/>
          <w:szCs w:val="24"/>
        </w:rPr>
      </w:pPr>
      <w:r w:rsidRPr="00416A92">
        <w:rPr>
          <w:sz w:val="24"/>
          <w:szCs w:val="24"/>
        </w:rPr>
        <w:t>This is the framework within which the Fund’s actuary carries out triennial valuations to set employers’ contributions and provides recommendations to the Administering Authority when other funding decisions are required, such as when employers join or leave the Fund.  The FSS applies to all employers participating in the Fund.</w:t>
      </w:r>
    </w:p>
    <w:p w14:paraId="397A9794" w14:textId="77777777" w:rsidR="009F6791" w:rsidRPr="00416A92" w:rsidRDefault="009F6791" w:rsidP="009F6791">
      <w:pPr>
        <w:pStyle w:val="Appendix2"/>
        <w:rPr>
          <w:sz w:val="24"/>
          <w:szCs w:val="24"/>
        </w:rPr>
      </w:pPr>
      <w:r w:rsidRPr="00416A92">
        <w:rPr>
          <w:sz w:val="24"/>
          <w:szCs w:val="24"/>
        </w:rPr>
        <w:t>A2</w:t>
      </w:r>
      <w:r w:rsidRPr="00416A92">
        <w:rPr>
          <w:sz w:val="24"/>
          <w:szCs w:val="24"/>
        </w:rPr>
        <w:tab/>
        <w:t>Does the Administering Authority consult anyone on the FSS?</w:t>
      </w:r>
    </w:p>
    <w:p w14:paraId="2F15EC6C" w14:textId="77777777" w:rsidR="009F6791" w:rsidRPr="00416A92" w:rsidRDefault="009F6791" w:rsidP="009F6791">
      <w:pPr>
        <w:pStyle w:val="BodyTextGrey"/>
        <w:rPr>
          <w:sz w:val="24"/>
          <w:szCs w:val="24"/>
        </w:rPr>
      </w:pPr>
      <w:r w:rsidRPr="00416A92">
        <w:rPr>
          <w:sz w:val="24"/>
          <w:szCs w:val="24"/>
        </w:rPr>
        <w:t>Yes.  This is required by LGPS Regulations.  It is covered in more detail by the most recent CIPFA guidance, which states that the FSS must first be subject to “consultation with such persons as the authority considers appropriate”, and should include “a meaningful dialogue at officer and elected member level with council tax raising authorities and with corresponding representatives of other participating employers”.</w:t>
      </w:r>
    </w:p>
    <w:p w14:paraId="771BB509" w14:textId="77777777" w:rsidR="009F6791" w:rsidRPr="00416A92" w:rsidRDefault="009F6791" w:rsidP="009F6791">
      <w:pPr>
        <w:pStyle w:val="BodyTextGrey"/>
        <w:rPr>
          <w:sz w:val="24"/>
          <w:szCs w:val="24"/>
        </w:rPr>
      </w:pPr>
      <w:r w:rsidRPr="00416A92">
        <w:rPr>
          <w:sz w:val="24"/>
          <w:szCs w:val="24"/>
        </w:rPr>
        <w:t xml:space="preserve">In practice, for the Fund, the consultation process for </w:t>
      </w:r>
      <w:r w:rsidR="00520622" w:rsidRPr="00416A92">
        <w:rPr>
          <w:sz w:val="24"/>
          <w:szCs w:val="24"/>
        </w:rPr>
        <w:t>this FSS</w:t>
      </w:r>
      <w:r w:rsidRPr="00416A92">
        <w:rPr>
          <w:sz w:val="24"/>
          <w:szCs w:val="24"/>
        </w:rPr>
        <w:t xml:space="preserve"> was as follows:</w:t>
      </w:r>
    </w:p>
    <w:p w14:paraId="3FA9C9D3" w14:textId="4995C8B4" w:rsidR="0020584C" w:rsidRPr="00FC38AD" w:rsidRDefault="0020584C" w:rsidP="0020584C">
      <w:pPr>
        <w:pStyle w:val="BodyTextGrey"/>
        <w:numPr>
          <w:ilvl w:val="0"/>
          <w:numId w:val="14"/>
        </w:numPr>
        <w:ind w:left="567" w:hanging="567"/>
        <w:rPr>
          <w:sz w:val="24"/>
          <w:szCs w:val="24"/>
        </w:rPr>
      </w:pPr>
      <w:r w:rsidRPr="00FC38AD">
        <w:rPr>
          <w:sz w:val="24"/>
          <w:szCs w:val="24"/>
        </w:rPr>
        <w:t xml:space="preserve">There was an Employers Forum on </w:t>
      </w:r>
      <w:r w:rsidR="00F232DA" w:rsidRPr="00FC38AD">
        <w:rPr>
          <w:sz w:val="24"/>
          <w:szCs w:val="24"/>
        </w:rPr>
        <w:t>31 October 2019</w:t>
      </w:r>
      <w:r w:rsidRPr="00FC38AD">
        <w:rPr>
          <w:sz w:val="24"/>
          <w:szCs w:val="24"/>
        </w:rPr>
        <w:t xml:space="preserve"> at which questions regarding the Fund’s funding strategy could be raised and answered;</w:t>
      </w:r>
    </w:p>
    <w:p w14:paraId="6FB07A44" w14:textId="124184AC" w:rsidR="0020584C" w:rsidRPr="00FC38AD" w:rsidRDefault="0020584C" w:rsidP="0020584C">
      <w:pPr>
        <w:pStyle w:val="BodyTextGrey"/>
        <w:numPr>
          <w:ilvl w:val="0"/>
          <w:numId w:val="14"/>
        </w:numPr>
        <w:ind w:left="567" w:hanging="567"/>
        <w:rPr>
          <w:sz w:val="24"/>
          <w:szCs w:val="24"/>
        </w:rPr>
      </w:pPr>
      <w:r w:rsidRPr="00FC38AD">
        <w:rPr>
          <w:sz w:val="24"/>
          <w:szCs w:val="24"/>
        </w:rPr>
        <w:t xml:space="preserve">A revised version of the FSS was issued to all participating employers in February </w:t>
      </w:r>
      <w:r w:rsidR="00FC38AD" w:rsidRPr="00FC38AD">
        <w:rPr>
          <w:sz w:val="24"/>
          <w:szCs w:val="24"/>
        </w:rPr>
        <w:t>2020</w:t>
      </w:r>
      <w:r w:rsidRPr="00FC38AD">
        <w:rPr>
          <w:sz w:val="24"/>
          <w:szCs w:val="24"/>
        </w:rPr>
        <w:t xml:space="preserve"> for comment;</w:t>
      </w:r>
    </w:p>
    <w:p w14:paraId="604F8201" w14:textId="768B87CF" w:rsidR="0020584C" w:rsidRPr="00FC38AD" w:rsidRDefault="0020584C" w:rsidP="0020584C">
      <w:pPr>
        <w:pStyle w:val="BodyTextGrey"/>
        <w:numPr>
          <w:ilvl w:val="0"/>
          <w:numId w:val="14"/>
        </w:numPr>
        <w:ind w:left="567" w:hanging="567"/>
        <w:rPr>
          <w:sz w:val="24"/>
          <w:szCs w:val="24"/>
        </w:rPr>
      </w:pPr>
      <w:r w:rsidRPr="00FC38AD">
        <w:rPr>
          <w:sz w:val="24"/>
          <w:szCs w:val="24"/>
        </w:rPr>
        <w:t xml:space="preserve">Comments were requested </w:t>
      </w:r>
      <w:r w:rsidR="00FC38AD" w:rsidRPr="00FC38AD">
        <w:rPr>
          <w:sz w:val="24"/>
          <w:szCs w:val="24"/>
        </w:rPr>
        <w:t>by 28 February 2020</w:t>
      </w:r>
      <w:r w:rsidRPr="00FC38AD">
        <w:rPr>
          <w:sz w:val="24"/>
          <w:szCs w:val="24"/>
        </w:rPr>
        <w:t>;</w:t>
      </w:r>
    </w:p>
    <w:p w14:paraId="781FDABF" w14:textId="317072BB" w:rsidR="00FC38AD" w:rsidRPr="00FC38AD" w:rsidRDefault="00FC38AD" w:rsidP="00FC38AD">
      <w:pPr>
        <w:pStyle w:val="BodyTextGrey"/>
        <w:numPr>
          <w:ilvl w:val="0"/>
          <w:numId w:val="14"/>
        </w:numPr>
        <w:ind w:left="567" w:hanging="567"/>
        <w:rPr>
          <w:sz w:val="24"/>
          <w:szCs w:val="24"/>
        </w:rPr>
      </w:pPr>
      <w:r w:rsidRPr="00FC38AD">
        <w:rPr>
          <w:sz w:val="24"/>
          <w:szCs w:val="24"/>
        </w:rPr>
        <w:t>A draft version of the FSS was presented to the Pensions Committee on 3 March 2020, with Admitted Bodies’ attention being drawn to the Meeting papers at that time;</w:t>
      </w:r>
    </w:p>
    <w:p w14:paraId="653B5194" w14:textId="4981E4AC" w:rsidR="0020584C" w:rsidRPr="00FC38AD" w:rsidRDefault="0020584C" w:rsidP="0020584C">
      <w:pPr>
        <w:pStyle w:val="BodyTextGrey"/>
        <w:numPr>
          <w:ilvl w:val="0"/>
          <w:numId w:val="14"/>
        </w:numPr>
        <w:ind w:left="567" w:hanging="567"/>
        <w:rPr>
          <w:sz w:val="24"/>
          <w:szCs w:val="24"/>
        </w:rPr>
      </w:pPr>
      <w:r w:rsidRPr="00FC38AD">
        <w:rPr>
          <w:sz w:val="24"/>
          <w:szCs w:val="24"/>
        </w:rPr>
        <w:t>Following the end of the consultation period</w:t>
      </w:r>
      <w:r w:rsidR="00FC38AD" w:rsidRPr="00FC38AD">
        <w:rPr>
          <w:sz w:val="24"/>
          <w:szCs w:val="24"/>
        </w:rPr>
        <w:t xml:space="preserve"> and Pension Committee</w:t>
      </w:r>
      <w:r w:rsidRPr="00FC38AD">
        <w:rPr>
          <w:sz w:val="24"/>
          <w:szCs w:val="24"/>
        </w:rPr>
        <w:t xml:space="preserve"> the FSS was updated where required and then published, in </w:t>
      </w:r>
      <w:r w:rsidR="00FC38AD" w:rsidRPr="00FC38AD">
        <w:rPr>
          <w:sz w:val="24"/>
          <w:szCs w:val="24"/>
        </w:rPr>
        <w:t>March 2020.</w:t>
      </w:r>
      <w:r w:rsidR="00F232DA" w:rsidRPr="00FC38AD">
        <w:rPr>
          <w:sz w:val="24"/>
          <w:szCs w:val="24"/>
        </w:rPr>
        <w:t>[</w:t>
      </w:r>
      <w:r w:rsidRPr="00FC38AD">
        <w:rPr>
          <w:sz w:val="24"/>
          <w:szCs w:val="24"/>
        </w:rPr>
        <w:t>.</w:t>
      </w:r>
    </w:p>
    <w:p w14:paraId="6EA03A46" w14:textId="77777777" w:rsidR="0020584C" w:rsidRPr="00416A92" w:rsidRDefault="0020584C">
      <w:pPr>
        <w:spacing w:after="20" w:line="240" w:lineRule="auto"/>
        <w:jc w:val="left"/>
        <w:rPr>
          <w:b/>
          <w:color w:val="F06A00" w:themeColor="accent1"/>
          <w:sz w:val="24"/>
          <w:szCs w:val="24"/>
          <w:lang w:eastAsia="en-US"/>
        </w:rPr>
      </w:pPr>
      <w:r w:rsidRPr="00416A92">
        <w:rPr>
          <w:sz w:val="24"/>
          <w:szCs w:val="24"/>
        </w:rPr>
        <w:br w:type="page"/>
      </w:r>
    </w:p>
    <w:p w14:paraId="357FD7A8" w14:textId="03ABBDE2" w:rsidR="009F6791" w:rsidRPr="00416A92" w:rsidRDefault="009F6791" w:rsidP="009F6791">
      <w:pPr>
        <w:pStyle w:val="Appendix2"/>
        <w:rPr>
          <w:sz w:val="24"/>
          <w:szCs w:val="24"/>
        </w:rPr>
      </w:pPr>
      <w:r w:rsidRPr="00416A92">
        <w:rPr>
          <w:sz w:val="24"/>
          <w:szCs w:val="24"/>
        </w:rPr>
        <w:lastRenderedPageBreak/>
        <w:t>A3</w:t>
      </w:r>
      <w:r w:rsidRPr="00416A92">
        <w:rPr>
          <w:sz w:val="24"/>
          <w:szCs w:val="24"/>
        </w:rPr>
        <w:tab/>
        <w:t>How is the FSS published?</w:t>
      </w:r>
    </w:p>
    <w:p w14:paraId="04812612" w14:textId="77777777" w:rsidR="00680783" w:rsidRPr="00416A92" w:rsidRDefault="00680783" w:rsidP="00680783">
      <w:pPr>
        <w:pStyle w:val="BodyTextGrey"/>
        <w:rPr>
          <w:sz w:val="24"/>
          <w:szCs w:val="24"/>
        </w:rPr>
      </w:pPr>
      <w:r w:rsidRPr="00416A92">
        <w:rPr>
          <w:sz w:val="24"/>
          <w:szCs w:val="24"/>
        </w:rPr>
        <w:t>The FSS is made available through the following routes:</w:t>
      </w:r>
    </w:p>
    <w:p w14:paraId="699E3270" w14:textId="64C0E5D2" w:rsidR="00680783" w:rsidRPr="00416A92" w:rsidRDefault="00680783" w:rsidP="00AB269F">
      <w:pPr>
        <w:pStyle w:val="BulletHymans"/>
        <w:numPr>
          <w:ilvl w:val="0"/>
          <w:numId w:val="60"/>
        </w:numPr>
        <w:rPr>
          <w:sz w:val="24"/>
          <w:szCs w:val="24"/>
        </w:rPr>
      </w:pPr>
      <w:r w:rsidRPr="00416A92">
        <w:rPr>
          <w:sz w:val="24"/>
          <w:szCs w:val="24"/>
        </w:rPr>
        <w:t xml:space="preserve">Published on the website, at </w:t>
      </w:r>
      <w:r w:rsidR="007D474F">
        <w:fldChar w:fldCharType="begin"/>
      </w:r>
      <w:r w:rsidR="007D474F">
        <w:instrText xml:space="preserve"> HYPERLINK "</w:instrText>
      </w:r>
      <w:r w:rsidR="007D474F" w:rsidRPr="007D474F">
        <w:instrText xml:space="preserve"> </w:instrText>
      </w:r>
      <w:r w:rsidR="007D474F" w:rsidRPr="007D474F">
        <w:rPr>
          <w:sz w:val="24"/>
          <w:szCs w:val="24"/>
        </w:rPr>
        <w:instrText>https://www.camden.gov.uk/pensions#yqyo</w:instrText>
      </w:r>
      <w:r w:rsidR="007D474F" w:rsidRPr="007D474F">
        <w:rPr>
          <w:sz w:val="24"/>
          <w:szCs w:val="24"/>
        </w:rPr>
        <w:instrText xml:space="preserve"> </w:instrText>
      </w:r>
      <w:r w:rsidR="007D474F">
        <w:instrText xml:space="preserve">" </w:instrText>
      </w:r>
      <w:r w:rsidR="007D474F">
        <w:fldChar w:fldCharType="separate"/>
      </w:r>
      <w:r w:rsidR="007D474F" w:rsidRPr="00BA06F7">
        <w:rPr>
          <w:rStyle w:val="Hyperlink"/>
        </w:rPr>
        <w:t xml:space="preserve"> </w:t>
      </w:r>
      <w:r w:rsidR="007D474F" w:rsidRPr="00BA06F7">
        <w:rPr>
          <w:rStyle w:val="Hyperlink"/>
          <w:sz w:val="24"/>
          <w:szCs w:val="24"/>
        </w:rPr>
        <w:t>https://www.camden.gov.uk/pensions#yqyo</w:t>
      </w:r>
      <w:r w:rsidR="007D474F" w:rsidRPr="00BA06F7">
        <w:rPr>
          <w:rStyle w:val="Hyperlink"/>
          <w:sz w:val="24"/>
          <w:szCs w:val="24"/>
        </w:rPr>
        <w:t xml:space="preserve"> </w:t>
      </w:r>
      <w:r w:rsidR="007D474F">
        <w:fldChar w:fldCharType="end"/>
      </w:r>
      <w:r w:rsidR="00AB269F" w:rsidRPr="00416A92">
        <w:rPr>
          <w:sz w:val="24"/>
          <w:szCs w:val="24"/>
        </w:rPr>
        <w:t xml:space="preserve"> </w:t>
      </w:r>
    </w:p>
    <w:p w14:paraId="7501F1D7" w14:textId="67AF7029" w:rsidR="00680783" w:rsidRPr="00416A92" w:rsidRDefault="00680783" w:rsidP="00AB269F">
      <w:pPr>
        <w:pStyle w:val="BulletHymans"/>
        <w:numPr>
          <w:ilvl w:val="0"/>
          <w:numId w:val="60"/>
        </w:numPr>
        <w:rPr>
          <w:sz w:val="24"/>
          <w:szCs w:val="24"/>
        </w:rPr>
      </w:pPr>
      <w:r w:rsidRPr="00416A92">
        <w:rPr>
          <w:sz w:val="24"/>
          <w:szCs w:val="24"/>
        </w:rPr>
        <w:t>A copy sent by e-mail to each participating employer in the Fund;</w:t>
      </w:r>
    </w:p>
    <w:p w14:paraId="58B8B737" w14:textId="33F99C0F" w:rsidR="00680783" w:rsidRPr="00416A92" w:rsidRDefault="00AB269F" w:rsidP="00AB269F">
      <w:pPr>
        <w:pStyle w:val="BulletHymans"/>
        <w:numPr>
          <w:ilvl w:val="0"/>
          <w:numId w:val="60"/>
        </w:numPr>
        <w:rPr>
          <w:sz w:val="24"/>
          <w:szCs w:val="24"/>
        </w:rPr>
      </w:pPr>
      <w:r w:rsidRPr="00416A92">
        <w:rPr>
          <w:sz w:val="24"/>
          <w:szCs w:val="24"/>
        </w:rPr>
        <w:t xml:space="preserve">A full copy </w:t>
      </w:r>
      <w:r w:rsidR="00680783" w:rsidRPr="00416A92">
        <w:rPr>
          <w:sz w:val="24"/>
          <w:szCs w:val="24"/>
        </w:rPr>
        <w:t>included in</w:t>
      </w:r>
      <w:r w:rsidRPr="00416A92">
        <w:rPr>
          <w:sz w:val="24"/>
          <w:szCs w:val="24"/>
        </w:rPr>
        <w:t xml:space="preserve"> </w:t>
      </w:r>
      <w:r w:rsidR="00680783" w:rsidRPr="00416A92">
        <w:rPr>
          <w:sz w:val="24"/>
          <w:szCs w:val="24"/>
        </w:rPr>
        <w:t>the annual report of the Fund;</w:t>
      </w:r>
    </w:p>
    <w:p w14:paraId="41598FAC" w14:textId="09E4CAB0" w:rsidR="00680783" w:rsidRPr="00416A92" w:rsidRDefault="00680783" w:rsidP="00AB269F">
      <w:pPr>
        <w:pStyle w:val="BulletHymans"/>
        <w:numPr>
          <w:ilvl w:val="0"/>
          <w:numId w:val="60"/>
        </w:numPr>
        <w:rPr>
          <w:sz w:val="24"/>
          <w:szCs w:val="24"/>
        </w:rPr>
      </w:pPr>
      <w:r w:rsidRPr="00416A92">
        <w:rPr>
          <w:sz w:val="24"/>
          <w:szCs w:val="24"/>
        </w:rPr>
        <w:t>Copies sent to independent advisers;</w:t>
      </w:r>
    </w:p>
    <w:p w14:paraId="23E99965" w14:textId="77777777" w:rsidR="009F6791" w:rsidRPr="00416A92" w:rsidRDefault="00680783" w:rsidP="00AB269F">
      <w:pPr>
        <w:pStyle w:val="BulletHymans"/>
        <w:numPr>
          <w:ilvl w:val="0"/>
          <w:numId w:val="60"/>
        </w:numPr>
        <w:rPr>
          <w:sz w:val="24"/>
          <w:szCs w:val="24"/>
        </w:rPr>
      </w:pPr>
      <w:r w:rsidRPr="00416A92">
        <w:rPr>
          <w:sz w:val="24"/>
          <w:szCs w:val="24"/>
        </w:rPr>
        <w:t>Copies made available on request.</w:t>
      </w:r>
    </w:p>
    <w:p w14:paraId="53AE7E59" w14:textId="77777777" w:rsidR="00680783" w:rsidRPr="00416A92" w:rsidRDefault="00680783" w:rsidP="00680783">
      <w:pPr>
        <w:pStyle w:val="Appendix2"/>
        <w:rPr>
          <w:sz w:val="24"/>
          <w:szCs w:val="24"/>
        </w:rPr>
      </w:pPr>
      <w:r w:rsidRPr="00416A92">
        <w:rPr>
          <w:sz w:val="24"/>
          <w:szCs w:val="24"/>
        </w:rPr>
        <w:t>A4</w:t>
      </w:r>
      <w:r w:rsidRPr="00416A92">
        <w:rPr>
          <w:sz w:val="24"/>
          <w:szCs w:val="24"/>
        </w:rPr>
        <w:tab/>
        <w:t>How often is the FSS reviewed?</w:t>
      </w:r>
    </w:p>
    <w:p w14:paraId="6832012F" w14:textId="21634924" w:rsidR="00CB170D" w:rsidRPr="00416A92" w:rsidRDefault="00CB170D" w:rsidP="00CB170D">
      <w:pPr>
        <w:pStyle w:val="BodyTextGrey"/>
        <w:rPr>
          <w:sz w:val="24"/>
          <w:szCs w:val="24"/>
        </w:rPr>
      </w:pPr>
      <w:r w:rsidRPr="00416A92">
        <w:rPr>
          <w:sz w:val="24"/>
          <w:szCs w:val="24"/>
        </w:rPr>
        <w:t>The FSS is reviewed in detail at least every three years as part of the triennial valuation</w:t>
      </w:r>
      <w:r w:rsidR="00C86041" w:rsidRPr="00416A92">
        <w:rPr>
          <w:sz w:val="24"/>
          <w:szCs w:val="24"/>
        </w:rPr>
        <w:t xml:space="preserve"> </w:t>
      </w:r>
      <w:r w:rsidR="00DB0259" w:rsidRPr="00416A92">
        <w:rPr>
          <w:sz w:val="24"/>
          <w:szCs w:val="24"/>
        </w:rPr>
        <w:t xml:space="preserve">(which may move to every four years in future – see Section 2.8).   </w:t>
      </w:r>
      <w:r w:rsidRPr="00416A92">
        <w:rPr>
          <w:sz w:val="24"/>
          <w:szCs w:val="24"/>
        </w:rPr>
        <w:t xml:space="preserve"> </w:t>
      </w:r>
    </w:p>
    <w:p w14:paraId="616454A5" w14:textId="77777777" w:rsidR="00CB170D" w:rsidRPr="00416A92" w:rsidRDefault="00CB170D" w:rsidP="00CB170D">
      <w:pPr>
        <w:pStyle w:val="BodyTextGrey"/>
        <w:rPr>
          <w:sz w:val="24"/>
          <w:szCs w:val="24"/>
        </w:rPr>
      </w:pPr>
      <w:r w:rsidRPr="00416A92">
        <w:rPr>
          <w:sz w:val="24"/>
          <w:szCs w:val="24"/>
        </w:rPr>
        <w:t xml:space="preserve">It is possible that (usually slight) amendments may be needed within the three year period.  These would be needed to reflect any regulatory changes, or alterations to the way the Fund operates (e.g. to accommodate a new class of employer). Any such amendments would be consulted upon as appropriate: </w:t>
      </w:r>
    </w:p>
    <w:p w14:paraId="61101F59" w14:textId="77777777" w:rsidR="00CB170D" w:rsidRPr="00416A92" w:rsidRDefault="00CB170D" w:rsidP="00C728B0">
      <w:pPr>
        <w:pStyle w:val="BulletHymans"/>
        <w:numPr>
          <w:ilvl w:val="0"/>
          <w:numId w:val="48"/>
        </w:numPr>
        <w:rPr>
          <w:sz w:val="24"/>
          <w:szCs w:val="24"/>
        </w:rPr>
      </w:pPr>
      <w:r w:rsidRPr="00416A92">
        <w:rPr>
          <w:sz w:val="24"/>
          <w:szCs w:val="24"/>
        </w:rPr>
        <w:t xml:space="preserve">trivial amendments would be simply notified at the next round of employer communications, </w:t>
      </w:r>
    </w:p>
    <w:p w14:paraId="428F7844" w14:textId="77777777" w:rsidR="00CB170D" w:rsidRPr="00416A92" w:rsidRDefault="00CB170D" w:rsidP="00C728B0">
      <w:pPr>
        <w:pStyle w:val="BulletHymans"/>
        <w:numPr>
          <w:ilvl w:val="0"/>
          <w:numId w:val="48"/>
        </w:numPr>
        <w:rPr>
          <w:sz w:val="24"/>
          <w:szCs w:val="24"/>
        </w:rPr>
      </w:pPr>
      <w:r w:rsidRPr="00416A92">
        <w:rPr>
          <w:sz w:val="24"/>
          <w:szCs w:val="24"/>
        </w:rPr>
        <w:t xml:space="preserve">amendments affecting only one class of employer would be consulted with those employers, </w:t>
      </w:r>
    </w:p>
    <w:p w14:paraId="1505A7DD" w14:textId="77777777" w:rsidR="00CB170D" w:rsidRPr="00416A92" w:rsidRDefault="00CB170D" w:rsidP="00C728B0">
      <w:pPr>
        <w:pStyle w:val="BulletHymans"/>
        <w:numPr>
          <w:ilvl w:val="0"/>
          <w:numId w:val="48"/>
        </w:numPr>
        <w:rPr>
          <w:sz w:val="24"/>
          <w:szCs w:val="24"/>
        </w:rPr>
      </w:pPr>
      <w:r w:rsidRPr="00416A92">
        <w:rPr>
          <w:sz w:val="24"/>
          <w:szCs w:val="24"/>
        </w:rPr>
        <w:t>other more significant amendments would be subject to full consultation.</w:t>
      </w:r>
    </w:p>
    <w:p w14:paraId="150596FD" w14:textId="78F9A591" w:rsidR="00680783" w:rsidRPr="00416A92" w:rsidRDefault="00CB170D" w:rsidP="00CB170D">
      <w:pPr>
        <w:pStyle w:val="BodyTextGrey"/>
        <w:rPr>
          <w:sz w:val="24"/>
          <w:szCs w:val="24"/>
        </w:rPr>
      </w:pPr>
      <w:r w:rsidRPr="00416A92">
        <w:rPr>
          <w:sz w:val="24"/>
          <w:szCs w:val="24"/>
        </w:rPr>
        <w:t>In any event, changes to the FSS would need agreement by the Pensions Committee and would be included in the relevant Committee Meeting minutes.</w:t>
      </w:r>
    </w:p>
    <w:p w14:paraId="127E2940" w14:textId="77777777" w:rsidR="00CB170D" w:rsidRPr="00416A92" w:rsidRDefault="009E13D0" w:rsidP="009E13D0">
      <w:pPr>
        <w:pStyle w:val="Appendix2"/>
        <w:rPr>
          <w:sz w:val="24"/>
          <w:szCs w:val="24"/>
        </w:rPr>
      </w:pPr>
      <w:r w:rsidRPr="00416A92">
        <w:rPr>
          <w:sz w:val="24"/>
          <w:szCs w:val="24"/>
        </w:rPr>
        <w:t>A5</w:t>
      </w:r>
      <w:r w:rsidRPr="00416A92">
        <w:rPr>
          <w:sz w:val="24"/>
          <w:szCs w:val="24"/>
        </w:rPr>
        <w:tab/>
        <w:t>How does the FSS fit into other Fund documents?</w:t>
      </w:r>
    </w:p>
    <w:p w14:paraId="0D013EB7" w14:textId="058359BF" w:rsidR="009E13D0" w:rsidRPr="00416A92" w:rsidRDefault="009E13D0" w:rsidP="009E13D0">
      <w:pPr>
        <w:pStyle w:val="BodyTextGrey"/>
        <w:rPr>
          <w:sz w:val="24"/>
          <w:szCs w:val="24"/>
        </w:rPr>
      </w:pPr>
      <w:r w:rsidRPr="00416A92">
        <w:rPr>
          <w:sz w:val="24"/>
          <w:szCs w:val="24"/>
        </w:rPr>
        <w:t xml:space="preserve">The FSS is a summary of the Fund’s approach to funding liabilities.  It is not an exhaustive statement of policy on all issues, for example there are a number of separate statements published by the Fund including the </w:t>
      </w:r>
      <w:r w:rsidR="00FF4957" w:rsidRPr="00416A92">
        <w:rPr>
          <w:sz w:val="24"/>
          <w:szCs w:val="24"/>
        </w:rPr>
        <w:t>Investment Strategy Statement</w:t>
      </w:r>
      <w:r w:rsidRPr="00416A92">
        <w:rPr>
          <w:sz w:val="24"/>
          <w:szCs w:val="24"/>
        </w:rPr>
        <w:t xml:space="preserve">, Governance Strategy and Communications Strategy.  In addition, the Fund publishes an Annual Report and Accounts with up to date information on the Fund.  </w:t>
      </w:r>
    </w:p>
    <w:p w14:paraId="3C94C6AA" w14:textId="77777777" w:rsidR="007D474F" w:rsidRDefault="009E13D0" w:rsidP="009E13D0">
      <w:pPr>
        <w:pStyle w:val="BodyTextGrey"/>
        <w:rPr>
          <w:sz w:val="24"/>
          <w:szCs w:val="24"/>
        </w:rPr>
      </w:pPr>
      <w:r w:rsidRPr="00416A92">
        <w:rPr>
          <w:sz w:val="24"/>
          <w:szCs w:val="24"/>
        </w:rPr>
        <w:t>These docume</w:t>
      </w:r>
      <w:r w:rsidR="003354FF" w:rsidRPr="00416A92">
        <w:rPr>
          <w:sz w:val="24"/>
          <w:szCs w:val="24"/>
        </w:rPr>
        <w:t>nts can be found on the web at</w:t>
      </w:r>
    </w:p>
    <w:p w14:paraId="03CFAA62" w14:textId="5DCA7FC6" w:rsidR="009E13D0" w:rsidRDefault="003354FF" w:rsidP="009E13D0">
      <w:pPr>
        <w:pStyle w:val="BodyTextGrey"/>
      </w:pPr>
      <w:r w:rsidRPr="00416A92">
        <w:rPr>
          <w:sz w:val="24"/>
          <w:szCs w:val="24"/>
        </w:rPr>
        <w:t xml:space="preserve"> </w:t>
      </w:r>
      <w:r w:rsidR="007D474F">
        <w:rPr>
          <w:sz w:val="24"/>
          <w:szCs w:val="24"/>
        </w:rPr>
        <w:fldChar w:fldCharType="begin"/>
      </w:r>
      <w:r w:rsidR="007D474F">
        <w:rPr>
          <w:sz w:val="24"/>
          <w:szCs w:val="24"/>
        </w:rPr>
        <w:instrText xml:space="preserve"> HYPERLINK "</w:instrText>
      </w:r>
      <w:r w:rsidR="007D474F" w:rsidRPr="007D474F">
        <w:rPr>
          <w:sz w:val="24"/>
          <w:szCs w:val="24"/>
        </w:rPr>
        <w:instrText>https://www.camden.gov.uk/statement-of-accounts?inheritRedirect=true</w:instrText>
      </w:r>
      <w:r w:rsidR="007D474F" w:rsidRPr="007D474F">
        <w:rPr>
          <w:sz w:val="24"/>
          <w:szCs w:val="24"/>
        </w:rPr>
        <w:instrText xml:space="preserve"> </w:instrText>
      </w:r>
      <w:r w:rsidR="007D474F">
        <w:rPr>
          <w:sz w:val="24"/>
          <w:szCs w:val="24"/>
        </w:rPr>
        <w:instrText xml:space="preserve">" </w:instrText>
      </w:r>
      <w:r w:rsidR="007D474F">
        <w:rPr>
          <w:sz w:val="24"/>
          <w:szCs w:val="24"/>
        </w:rPr>
        <w:fldChar w:fldCharType="separate"/>
      </w:r>
      <w:r w:rsidR="007D474F" w:rsidRPr="00BA06F7">
        <w:rPr>
          <w:rStyle w:val="Hyperlink"/>
          <w:sz w:val="24"/>
          <w:szCs w:val="24"/>
        </w:rPr>
        <w:t>https://www.camden.gov.uk/statement-of-accounts?inheritRedirect=true</w:t>
      </w:r>
      <w:r w:rsidR="007D474F" w:rsidRPr="00BA06F7">
        <w:rPr>
          <w:rStyle w:val="Hyperlink"/>
          <w:sz w:val="24"/>
          <w:szCs w:val="24"/>
        </w:rPr>
        <w:t xml:space="preserve"> </w:t>
      </w:r>
      <w:r w:rsidR="007D474F">
        <w:rPr>
          <w:sz w:val="24"/>
          <w:szCs w:val="24"/>
        </w:rPr>
        <w:fldChar w:fldCharType="end"/>
      </w:r>
      <w:r w:rsidRPr="00416A92">
        <w:rPr>
          <w:sz w:val="24"/>
          <w:szCs w:val="24"/>
        </w:rPr>
        <w:t xml:space="preserve"> </w:t>
      </w:r>
    </w:p>
    <w:p w14:paraId="50C8120B" w14:textId="77777777" w:rsidR="009E13D0" w:rsidRDefault="009E13D0">
      <w:pPr>
        <w:spacing w:after="20" w:line="240" w:lineRule="auto"/>
        <w:jc w:val="left"/>
        <w:rPr>
          <w:color w:val="4B4B4B"/>
          <w:lang w:eastAsia="en-US"/>
        </w:rPr>
      </w:pPr>
      <w:r>
        <w:br w:type="page"/>
      </w:r>
    </w:p>
    <w:p w14:paraId="266922CA" w14:textId="77777777" w:rsidR="009E13D0" w:rsidRDefault="00E61B64" w:rsidP="00CB2C8A">
      <w:pPr>
        <w:pStyle w:val="Heading1Num"/>
        <w:numPr>
          <w:ilvl w:val="0"/>
          <w:numId w:val="0"/>
        </w:numPr>
        <w:ind w:left="567" w:hanging="567"/>
      </w:pPr>
      <w:bookmarkStart w:id="39" w:name="_Toc357155093"/>
      <w:bookmarkStart w:id="40" w:name="_Toc22839045"/>
      <w:bookmarkStart w:id="41" w:name="AppendixB"/>
      <w:r>
        <w:lastRenderedPageBreak/>
        <w:t>Appendix B – Responsibilities of key parties</w:t>
      </w:r>
      <w:bookmarkEnd w:id="39"/>
      <w:bookmarkEnd w:id="40"/>
    </w:p>
    <w:bookmarkEnd w:id="41"/>
    <w:p w14:paraId="2A685D5A" w14:textId="77777777" w:rsidR="00940F15" w:rsidRPr="00416A92" w:rsidRDefault="00940F15" w:rsidP="00940F15">
      <w:pPr>
        <w:pStyle w:val="BodyTextGrey"/>
        <w:rPr>
          <w:sz w:val="24"/>
          <w:szCs w:val="24"/>
        </w:rPr>
      </w:pPr>
      <w:r w:rsidRPr="00416A92">
        <w:rPr>
          <w:sz w:val="24"/>
          <w:szCs w:val="24"/>
        </w:rPr>
        <w:t>The efficient and effective operation of the Fund needs various parties to each play their part.</w:t>
      </w:r>
    </w:p>
    <w:p w14:paraId="00D2017E" w14:textId="77777777" w:rsidR="00940F15" w:rsidRPr="00416A92" w:rsidRDefault="003B1793" w:rsidP="00940F15">
      <w:pPr>
        <w:pStyle w:val="Appendix2"/>
        <w:rPr>
          <w:sz w:val="24"/>
          <w:szCs w:val="24"/>
        </w:rPr>
      </w:pPr>
      <w:r w:rsidRPr="00416A92">
        <w:rPr>
          <w:sz w:val="24"/>
          <w:szCs w:val="24"/>
        </w:rPr>
        <w:t>B1</w:t>
      </w:r>
      <w:r w:rsidRPr="00416A92">
        <w:rPr>
          <w:sz w:val="24"/>
          <w:szCs w:val="24"/>
        </w:rPr>
        <w:tab/>
      </w:r>
      <w:r w:rsidR="00940F15" w:rsidRPr="00416A92">
        <w:rPr>
          <w:sz w:val="24"/>
          <w:szCs w:val="24"/>
        </w:rPr>
        <w:t>The Administering Authority should:-</w:t>
      </w:r>
    </w:p>
    <w:p w14:paraId="138FF04E" w14:textId="77777777" w:rsidR="00940F15" w:rsidRPr="00416A92" w:rsidRDefault="00940F15" w:rsidP="00C728B0">
      <w:pPr>
        <w:pStyle w:val="BulletHymans"/>
        <w:numPr>
          <w:ilvl w:val="0"/>
          <w:numId w:val="27"/>
        </w:numPr>
        <w:rPr>
          <w:sz w:val="24"/>
          <w:szCs w:val="24"/>
        </w:rPr>
      </w:pPr>
      <w:r w:rsidRPr="00416A92">
        <w:rPr>
          <w:sz w:val="24"/>
          <w:szCs w:val="24"/>
        </w:rPr>
        <w:t>operate the Fund as per the LGPS Regulations;</w:t>
      </w:r>
    </w:p>
    <w:p w14:paraId="1402964A" w14:textId="77777777" w:rsidR="00940F15" w:rsidRPr="00416A92" w:rsidRDefault="00940F15" w:rsidP="00C728B0">
      <w:pPr>
        <w:pStyle w:val="BulletHymans"/>
        <w:numPr>
          <w:ilvl w:val="0"/>
          <w:numId w:val="27"/>
        </w:numPr>
        <w:rPr>
          <w:sz w:val="24"/>
          <w:szCs w:val="24"/>
        </w:rPr>
      </w:pPr>
      <w:r w:rsidRPr="00416A92">
        <w:rPr>
          <w:sz w:val="24"/>
          <w:szCs w:val="24"/>
        </w:rPr>
        <w:t>effectively manage any potential conflicts of interest arising from its dual role as Administering Authority and a Fund employer;</w:t>
      </w:r>
    </w:p>
    <w:p w14:paraId="424C4B78" w14:textId="77777777" w:rsidR="00940F15" w:rsidRPr="00416A92" w:rsidRDefault="00940F15" w:rsidP="00C728B0">
      <w:pPr>
        <w:pStyle w:val="BulletHymans"/>
        <w:numPr>
          <w:ilvl w:val="0"/>
          <w:numId w:val="27"/>
        </w:numPr>
        <w:rPr>
          <w:sz w:val="24"/>
          <w:szCs w:val="24"/>
        </w:rPr>
      </w:pPr>
      <w:r w:rsidRPr="00416A92">
        <w:rPr>
          <w:sz w:val="24"/>
          <w:szCs w:val="24"/>
        </w:rPr>
        <w:t>collect employer and employee contributions, and investment income</w:t>
      </w:r>
      <w:r w:rsidR="00F83F3E" w:rsidRPr="00416A92">
        <w:rPr>
          <w:sz w:val="24"/>
          <w:szCs w:val="24"/>
        </w:rPr>
        <w:t xml:space="preserve"> and other amounts due to the Fund</w:t>
      </w:r>
      <w:r w:rsidRPr="00416A92">
        <w:rPr>
          <w:sz w:val="24"/>
          <w:szCs w:val="24"/>
        </w:rPr>
        <w:t>;</w:t>
      </w:r>
    </w:p>
    <w:p w14:paraId="03F80DBB" w14:textId="77777777" w:rsidR="00940F15" w:rsidRPr="00416A92" w:rsidRDefault="00940F15" w:rsidP="00C728B0">
      <w:pPr>
        <w:pStyle w:val="BulletHymans"/>
        <w:numPr>
          <w:ilvl w:val="0"/>
          <w:numId w:val="27"/>
        </w:numPr>
        <w:rPr>
          <w:sz w:val="24"/>
          <w:szCs w:val="24"/>
        </w:rPr>
      </w:pPr>
      <w:r w:rsidRPr="00416A92">
        <w:rPr>
          <w:sz w:val="24"/>
          <w:szCs w:val="24"/>
        </w:rPr>
        <w:t>ensure that cash is available to meet benefit payments as and when they fall due;</w:t>
      </w:r>
    </w:p>
    <w:p w14:paraId="5E337388" w14:textId="77777777" w:rsidR="00F83F3E" w:rsidRPr="00416A92" w:rsidRDefault="00F83F3E" w:rsidP="00C728B0">
      <w:pPr>
        <w:pStyle w:val="BulletHymans"/>
        <w:numPr>
          <w:ilvl w:val="0"/>
          <w:numId w:val="27"/>
        </w:numPr>
        <w:rPr>
          <w:sz w:val="24"/>
          <w:szCs w:val="24"/>
        </w:rPr>
      </w:pPr>
      <w:r w:rsidRPr="00416A92">
        <w:rPr>
          <w:sz w:val="24"/>
          <w:szCs w:val="24"/>
        </w:rPr>
        <w:t>pay from the Fund the relevant benefits and entitlements that are due;</w:t>
      </w:r>
    </w:p>
    <w:p w14:paraId="76E415E0" w14:textId="4749F302" w:rsidR="00940F15" w:rsidRPr="00416A92" w:rsidRDefault="00940F15" w:rsidP="00C728B0">
      <w:pPr>
        <w:pStyle w:val="BulletHymans"/>
        <w:numPr>
          <w:ilvl w:val="0"/>
          <w:numId w:val="27"/>
        </w:numPr>
        <w:rPr>
          <w:sz w:val="24"/>
          <w:szCs w:val="24"/>
        </w:rPr>
      </w:pPr>
      <w:r w:rsidRPr="00416A92">
        <w:rPr>
          <w:sz w:val="24"/>
          <w:szCs w:val="24"/>
        </w:rPr>
        <w:t xml:space="preserve">invest surplus monies (i.e. contributions and other income which are not immediately needed to pay benefits) in accordance with the Fund’s </w:t>
      </w:r>
      <w:r w:rsidR="00FF4957" w:rsidRPr="00416A92">
        <w:rPr>
          <w:sz w:val="24"/>
          <w:szCs w:val="24"/>
        </w:rPr>
        <w:t>Investment Strategy Statement</w:t>
      </w:r>
      <w:r w:rsidRPr="00416A92">
        <w:rPr>
          <w:sz w:val="24"/>
          <w:szCs w:val="24"/>
        </w:rPr>
        <w:t xml:space="preserve"> (</w:t>
      </w:r>
      <w:r w:rsidR="00FF4957" w:rsidRPr="00416A92">
        <w:rPr>
          <w:sz w:val="24"/>
          <w:szCs w:val="24"/>
        </w:rPr>
        <w:t>ISS</w:t>
      </w:r>
      <w:r w:rsidRPr="00416A92">
        <w:rPr>
          <w:sz w:val="24"/>
          <w:szCs w:val="24"/>
        </w:rPr>
        <w:t>) and LGPS Regulations;</w:t>
      </w:r>
    </w:p>
    <w:p w14:paraId="27281AAD" w14:textId="77777777" w:rsidR="00940F15" w:rsidRPr="00416A92" w:rsidRDefault="00940F15" w:rsidP="00C728B0">
      <w:pPr>
        <w:pStyle w:val="BulletHymans"/>
        <w:numPr>
          <w:ilvl w:val="0"/>
          <w:numId w:val="27"/>
        </w:numPr>
        <w:rPr>
          <w:sz w:val="24"/>
          <w:szCs w:val="24"/>
        </w:rPr>
      </w:pPr>
      <w:r w:rsidRPr="00416A92">
        <w:rPr>
          <w:sz w:val="24"/>
          <w:szCs w:val="24"/>
        </w:rPr>
        <w:t>communicate appropriately with employers so that they fully understand their obligations to the Fund;</w:t>
      </w:r>
    </w:p>
    <w:p w14:paraId="489432B1" w14:textId="77777777" w:rsidR="00940F15" w:rsidRPr="00416A92" w:rsidRDefault="00940F15" w:rsidP="00C728B0">
      <w:pPr>
        <w:pStyle w:val="BulletHymans"/>
        <w:numPr>
          <w:ilvl w:val="0"/>
          <w:numId w:val="27"/>
        </w:numPr>
        <w:rPr>
          <w:sz w:val="24"/>
          <w:szCs w:val="24"/>
        </w:rPr>
      </w:pPr>
      <w:r w:rsidRPr="00416A92">
        <w:rPr>
          <w:sz w:val="24"/>
          <w:szCs w:val="24"/>
        </w:rPr>
        <w:t>take appropriate measures to safeguard the Fund against the consequences of employer default;</w:t>
      </w:r>
    </w:p>
    <w:p w14:paraId="786993F4" w14:textId="77777777" w:rsidR="00940F15" w:rsidRPr="00416A92" w:rsidRDefault="00940F15" w:rsidP="00C728B0">
      <w:pPr>
        <w:pStyle w:val="BulletHymans"/>
        <w:numPr>
          <w:ilvl w:val="0"/>
          <w:numId w:val="27"/>
        </w:numPr>
        <w:rPr>
          <w:sz w:val="24"/>
          <w:szCs w:val="24"/>
        </w:rPr>
      </w:pPr>
      <w:r w:rsidRPr="00416A92">
        <w:rPr>
          <w:sz w:val="24"/>
          <w:szCs w:val="24"/>
        </w:rPr>
        <w:t>manage the valuation process in consultation with the Fund’s actuary;</w:t>
      </w:r>
    </w:p>
    <w:p w14:paraId="055DE7D0" w14:textId="4135AE79" w:rsidR="001B33C5" w:rsidRPr="00416A92" w:rsidRDefault="001B33C5" w:rsidP="00C728B0">
      <w:pPr>
        <w:pStyle w:val="BulletHymans"/>
        <w:numPr>
          <w:ilvl w:val="0"/>
          <w:numId w:val="27"/>
        </w:numPr>
        <w:rPr>
          <w:sz w:val="24"/>
          <w:szCs w:val="24"/>
        </w:rPr>
      </w:pPr>
      <w:r w:rsidRPr="00416A92">
        <w:rPr>
          <w:sz w:val="24"/>
          <w:szCs w:val="24"/>
        </w:rPr>
        <w:t xml:space="preserve">provide data and information as required by the Government Actuary’s Department to carry out their statutory obligations (see </w:t>
      </w:r>
      <w:hyperlink w:anchor="Section5" w:history="1">
        <w:r w:rsidRPr="00416A92">
          <w:rPr>
            <w:rStyle w:val="Hyperlink"/>
            <w:sz w:val="24"/>
            <w:szCs w:val="24"/>
          </w:rPr>
          <w:t>Section 5</w:t>
        </w:r>
      </w:hyperlink>
      <w:r w:rsidRPr="00416A92">
        <w:rPr>
          <w:sz w:val="24"/>
          <w:szCs w:val="24"/>
        </w:rPr>
        <w:t>);</w:t>
      </w:r>
    </w:p>
    <w:p w14:paraId="7E92C6E3" w14:textId="423D7740" w:rsidR="00940F15" w:rsidRPr="00416A92" w:rsidRDefault="00940F15" w:rsidP="00C728B0">
      <w:pPr>
        <w:pStyle w:val="BulletHymans"/>
        <w:numPr>
          <w:ilvl w:val="0"/>
          <w:numId w:val="27"/>
        </w:numPr>
        <w:rPr>
          <w:sz w:val="24"/>
          <w:szCs w:val="24"/>
        </w:rPr>
      </w:pPr>
      <w:r w:rsidRPr="00416A92">
        <w:rPr>
          <w:sz w:val="24"/>
          <w:szCs w:val="24"/>
        </w:rPr>
        <w:t xml:space="preserve">prepare and maintain a FSS and a </w:t>
      </w:r>
      <w:r w:rsidR="00FF4957" w:rsidRPr="00416A92">
        <w:rPr>
          <w:sz w:val="24"/>
          <w:szCs w:val="24"/>
        </w:rPr>
        <w:t>ISS</w:t>
      </w:r>
      <w:r w:rsidRPr="00416A92">
        <w:rPr>
          <w:sz w:val="24"/>
          <w:szCs w:val="24"/>
        </w:rPr>
        <w:t xml:space="preserve">, after consultation; </w:t>
      </w:r>
    </w:p>
    <w:p w14:paraId="5FE4F8BC" w14:textId="77777777" w:rsidR="00940F15" w:rsidRPr="00416A92" w:rsidRDefault="00940F15" w:rsidP="00C728B0">
      <w:pPr>
        <w:pStyle w:val="BulletHymans"/>
        <w:numPr>
          <w:ilvl w:val="0"/>
          <w:numId w:val="27"/>
        </w:numPr>
        <w:rPr>
          <w:sz w:val="24"/>
          <w:szCs w:val="24"/>
        </w:rPr>
      </w:pPr>
      <w:r w:rsidRPr="00416A92">
        <w:rPr>
          <w:sz w:val="24"/>
          <w:szCs w:val="24"/>
        </w:rPr>
        <w:t xml:space="preserve">notify the Fund’s actuary of material changes which could affect funding (this is covered in a separate agreement with the actuary); and </w:t>
      </w:r>
    </w:p>
    <w:p w14:paraId="6E273151" w14:textId="6BE13630" w:rsidR="00940F15" w:rsidRPr="00416A92" w:rsidRDefault="00940F15" w:rsidP="00C728B0">
      <w:pPr>
        <w:pStyle w:val="BulletHymans"/>
        <w:numPr>
          <w:ilvl w:val="0"/>
          <w:numId w:val="27"/>
        </w:numPr>
        <w:rPr>
          <w:sz w:val="24"/>
          <w:szCs w:val="24"/>
        </w:rPr>
      </w:pPr>
      <w:r w:rsidRPr="00416A92">
        <w:rPr>
          <w:sz w:val="24"/>
          <w:szCs w:val="24"/>
        </w:rPr>
        <w:t>monitor all aspects of the fund’s performance and funding and amend the FSS</w:t>
      </w:r>
      <w:r w:rsidR="00FF4957" w:rsidRPr="00416A92">
        <w:rPr>
          <w:sz w:val="24"/>
          <w:szCs w:val="24"/>
        </w:rPr>
        <w:t xml:space="preserve"> and ISS</w:t>
      </w:r>
      <w:r w:rsidRPr="00416A92">
        <w:rPr>
          <w:sz w:val="24"/>
          <w:szCs w:val="24"/>
        </w:rPr>
        <w:t xml:space="preserve"> as necessary and appropriate.</w:t>
      </w:r>
    </w:p>
    <w:p w14:paraId="709BD547" w14:textId="77777777" w:rsidR="00940F15" w:rsidRPr="00416A92" w:rsidRDefault="003B1793" w:rsidP="00940F15">
      <w:pPr>
        <w:pStyle w:val="Appendix2"/>
        <w:rPr>
          <w:sz w:val="24"/>
          <w:szCs w:val="24"/>
        </w:rPr>
      </w:pPr>
      <w:r w:rsidRPr="00416A92">
        <w:rPr>
          <w:sz w:val="24"/>
          <w:szCs w:val="24"/>
        </w:rPr>
        <w:t>B2</w:t>
      </w:r>
      <w:r w:rsidRPr="00416A92">
        <w:rPr>
          <w:sz w:val="24"/>
          <w:szCs w:val="24"/>
        </w:rPr>
        <w:tab/>
      </w:r>
      <w:r w:rsidR="00940F15" w:rsidRPr="00416A92">
        <w:rPr>
          <w:sz w:val="24"/>
          <w:szCs w:val="24"/>
        </w:rPr>
        <w:t>The Individual Employer should:-</w:t>
      </w:r>
    </w:p>
    <w:p w14:paraId="2551F184" w14:textId="77777777" w:rsidR="00940F15" w:rsidRPr="00416A92" w:rsidRDefault="00940F15" w:rsidP="00C728B0">
      <w:pPr>
        <w:pStyle w:val="BulletHymans"/>
        <w:numPr>
          <w:ilvl w:val="0"/>
          <w:numId w:val="26"/>
        </w:numPr>
        <w:rPr>
          <w:sz w:val="24"/>
          <w:szCs w:val="24"/>
        </w:rPr>
      </w:pPr>
      <w:r w:rsidRPr="00416A92">
        <w:rPr>
          <w:sz w:val="24"/>
          <w:szCs w:val="24"/>
        </w:rPr>
        <w:t>deduct contributions from employees’ pay correctly;</w:t>
      </w:r>
    </w:p>
    <w:p w14:paraId="53AB1E02" w14:textId="77777777" w:rsidR="00940F15" w:rsidRPr="00416A92" w:rsidRDefault="00940F15" w:rsidP="00C728B0">
      <w:pPr>
        <w:pStyle w:val="BulletHymans"/>
        <w:numPr>
          <w:ilvl w:val="0"/>
          <w:numId w:val="26"/>
        </w:numPr>
        <w:rPr>
          <w:sz w:val="24"/>
          <w:szCs w:val="24"/>
        </w:rPr>
      </w:pPr>
      <w:r w:rsidRPr="00416A92">
        <w:rPr>
          <w:sz w:val="24"/>
          <w:szCs w:val="24"/>
        </w:rPr>
        <w:t>pay all contributions, including their own as determined by the actuary, promptly by the due date;</w:t>
      </w:r>
    </w:p>
    <w:p w14:paraId="66AB1063" w14:textId="77777777" w:rsidR="00940F15" w:rsidRPr="00416A92" w:rsidRDefault="00940F15" w:rsidP="00C728B0">
      <w:pPr>
        <w:pStyle w:val="BulletHymans"/>
        <w:numPr>
          <w:ilvl w:val="0"/>
          <w:numId w:val="26"/>
        </w:numPr>
        <w:rPr>
          <w:sz w:val="24"/>
          <w:szCs w:val="24"/>
        </w:rPr>
      </w:pPr>
      <w:r w:rsidRPr="00416A92">
        <w:rPr>
          <w:sz w:val="24"/>
          <w:szCs w:val="24"/>
        </w:rPr>
        <w:t>have a policy and exercise discretions within the regulatory framework;</w:t>
      </w:r>
    </w:p>
    <w:p w14:paraId="4BA081C0" w14:textId="77777777" w:rsidR="00940F15" w:rsidRPr="00416A92" w:rsidRDefault="00940F15" w:rsidP="00C728B0">
      <w:pPr>
        <w:pStyle w:val="BulletHymans"/>
        <w:numPr>
          <w:ilvl w:val="0"/>
          <w:numId w:val="26"/>
        </w:numPr>
        <w:rPr>
          <w:sz w:val="24"/>
          <w:szCs w:val="24"/>
        </w:rPr>
      </w:pPr>
      <w:r w:rsidRPr="00416A92">
        <w:rPr>
          <w:sz w:val="24"/>
          <w:szCs w:val="24"/>
        </w:rPr>
        <w:t xml:space="preserve">make additional contributions in accordance with agreed arrangements in respect of, for example, augmentation of scheme benefits, early retirement strain; and </w:t>
      </w:r>
    </w:p>
    <w:p w14:paraId="679E9025" w14:textId="77777777" w:rsidR="00940F15" w:rsidRPr="00416A92" w:rsidRDefault="00940F15" w:rsidP="00C728B0">
      <w:pPr>
        <w:pStyle w:val="BulletHymans"/>
        <w:numPr>
          <w:ilvl w:val="0"/>
          <w:numId w:val="26"/>
        </w:numPr>
        <w:rPr>
          <w:sz w:val="24"/>
          <w:szCs w:val="24"/>
        </w:rPr>
      </w:pPr>
      <w:r w:rsidRPr="00416A92">
        <w:rPr>
          <w:sz w:val="24"/>
          <w:szCs w:val="24"/>
        </w:rPr>
        <w:t>notify the Administering Authority promptly of all changes to its circumstances, prospects or membership, which could affect future funding.</w:t>
      </w:r>
    </w:p>
    <w:p w14:paraId="490CBCC6" w14:textId="77777777" w:rsidR="00940F15" w:rsidRPr="00416A92" w:rsidRDefault="003B1793" w:rsidP="00940F15">
      <w:pPr>
        <w:pStyle w:val="Appendix2"/>
        <w:rPr>
          <w:sz w:val="24"/>
          <w:szCs w:val="24"/>
        </w:rPr>
      </w:pPr>
      <w:r w:rsidRPr="00416A92">
        <w:rPr>
          <w:sz w:val="24"/>
          <w:szCs w:val="24"/>
        </w:rPr>
        <w:t>B3</w:t>
      </w:r>
      <w:r w:rsidRPr="00416A92">
        <w:rPr>
          <w:sz w:val="24"/>
          <w:szCs w:val="24"/>
        </w:rPr>
        <w:tab/>
      </w:r>
      <w:r w:rsidR="00940F15" w:rsidRPr="00416A92">
        <w:rPr>
          <w:sz w:val="24"/>
          <w:szCs w:val="24"/>
        </w:rPr>
        <w:t>The Fund Actuary should:-</w:t>
      </w:r>
    </w:p>
    <w:p w14:paraId="08B2CFE6" w14:textId="77777777" w:rsidR="00940F15" w:rsidRPr="00416A92" w:rsidRDefault="00940F15" w:rsidP="00C728B0">
      <w:pPr>
        <w:pStyle w:val="BulletHymans"/>
        <w:numPr>
          <w:ilvl w:val="0"/>
          <w:numId w:val="25"/>
        </w:numPr>
        <w:rPr>
          <w:sz w:val="24"/>
          <w:szCs w:val="24"/>
        </w:rPr>
      </w:pPr>
      <w:r w:rsidRPr="00416A92">
        <w:rPr>
          <w:sz w:val="24"/>
          <w:szCs w:val="24"/>
        </w:rPr>
        <w:t xml:space="preserve">prepare valuations, including the setting of employers’ contribution rates.  This will involve agreeing assumptions with the Administering Authority, having regard to the FSS and LGPS Regulations, and targeting each employer’s solvency appropriately; </w:t>
      </w:r>
    </w:p>
    <w:p w14:paraId="4EDE6779" w14:textId="57D5969A" w:rsidR="001B33C5" w:rsidRPr="00416A92" w:rsidRDefault="001B33C5" w:rsidP="00C728B0">
      <w:pPr>
        <w:pStyle w:val="BulletHymans"/>
        <w:numPr>
          <w:ilvl w:val="0"/>
          <w:numId w:val="25"/>
        </w:numPr>
        <w:rPr>
          <w:sz w:val="24"/>
          <w:szCs w:val="24"/>
        </w:rPr>
      </w:pPr>
      <w:r w:rsidRPr="00416A92">
        <w:rPr>
          <w:sz w:val="24"/>
          <w:szCs w:val="24"/>
        </w:rPr>
        <w:lastRenderedPageBreak/>
        <w:t xml:space="preserve">provide data and information as required by the Government Actuary’s Department to carry out their statutory obligations (see </w:t>
      </w:r>
      <w:hyperlink w:anchor="Section5" w:history="1">
        <w:r w:rsidRPr="00416A92">
          <w:rPr>
            <w:rStyle w:val="Hyperlink"/>
            <w:sz w:val="24"/>
            <w:szCs w:val="24"/>
          </w:rPr>
          <w:t>Section 5</w:t>
        </w:r>
      </w:hyperlink>
      <w:r w:rsidRPr="00416A92">
        <w:rPr>
          <w:sz w:val="24"/>
          <w:szCs w:val="24"/>
        </w:rPr>
        <w:t>);</w:t>
      </w:r>
    </w:p>
    <w:p w14:paraId="04786762" w14:textId="77777777" w:rsidR="00940F15" w:rsidRPr="00416A92" w:rsidRDefault="00940F15" w:rsidP="00C728B0">
      <w:pPr>
        <w:pStyle w:val="BulletHymans"/>
        <w:numPr>
          <w:ilvl w:val="0"/>
          <w:numId w:val="25"/>
        </w:numPr>
        <w:rPr>
          <w:sz w:val="24"/>
          <w:szCs w:val="24"/>
        </w:rPr>
      </w:pPr>
      <w:r w:rsidRPr="00416A92">
        <w:rPr>
          <w:sz w:val="24"/>
          <w:szCs w:val="24"/>
        </w:rPr>
        <w:t>provide advice relating to new employers in the Fund, including the level and type of bonds or other forms of security (and the monitoring of these);</w:t>
      </w:r>
    </w:p>
    <w:p w14:paraId="1A22CB4F" w14:textId="77777777" w:rsidR="00940F15" w:rsidRPr="00416A92" w:rsidRDefault="00940F15" w:rsidP="00C728B0">
      <w:pPr>
        <w:pStyle w:val="BulletHymans"/>
        <w:numPr>
          <w:ilvl w:val="0"/>
          <w:numId w:val="25"/>
        </w:numPr>
        <w:rPr>
          <w:sz w:val="24"/>
          <w:szCs w:val="24"/>
        </w:rPr>
      </w:pPr>
      <w:r w:rsidRPr="00416A92">
        <w:rPr>
          <w:sz w:val="24"/>
          <w:szCs w:val="24"/>
        </w:rPr>
        <w:t>prepare advice and calculations in connection with bulk transfers and individual benefit-related matters;</w:t>
      </w:r>
    </w:p>
    <w:p w14:paraId="43DE4BB9" w14:textId="77777777" w:rsidR="00940F15" w:rsidRPr="00416A92" w:rsidRDefault="00940F15" w:rsidP="00C728B0">
      <w:pPr>
        <w:pStyle w:val="BulletHymans"/>
        <w:numPr>
          <w:ilvl w:val="0"/>
          <w:numId w:val="25"/>
        </w:numPr>
        <w:rPr>
          <w:sz w:val="24"/>
          <w:szCs w:val="24"/>
        </w:rPr>
      </w:pPr>
      <w:r w:rsidRPr="00416A92">
        <w:rPr>
          <w:sz w:val="24"/>
          <w:szCs w:val="24"/>
        </w:rPr>
        <w:t>assist the Administering Authority in considering possible changes to employer contributions between formal valuations, where circumstances suggest this may be necessary;</w:t>
      </w:r>
    </w:p>
    <w:p w14:paraId="420BD09F" w14:textId="675ADA97" w:rsidR="00940F15" w:rsidRPr="00416A92" w:rsidRDefault="00940F15" w:rsidP="00C728B0">
      <w:pPr>
        <w:pStyle w:val="BulletHymans"/>
        <w:numPr>
          <w:ilvl w:val="0"/>
          <w:numId w:val="25"/>
        </w:numPr>
        <w:rPr>
          <w:sz w:val="24"/>
          <w:szCs w:val="24"/>
        </w:rPr>
      </w:pPr>
      <w:r w:rsidRPr="00416A92">
        <w:rPr>
          <w:sz w:val="24"/>
          <w:szCs w:val="24"/>
        </w:rPr>
        <w:t xml:space="preserve">advise on the termination of </w:t>
      </w:r>
      <w:r w:rsidR="00D7644C" w:rsidRPr="00416A92">
        <w:rPr>
          <w:sz w:val="24"/>
          <w:szCs w:val="24"/>
        </w:rPr>
        <w:t>employers’</w:t>
      </w:r>
      <w:r w:rsidRPr="00416A92">
        <w:rPr>
          <w:sz w:val="24"/>
          <w:szCs w:val="24"/>
        </w:rPr>
        <w:t xml:space="preserve"> participation in the Fund; and</w:t>
      </w:r>
    </w:p>
    <w:p w14:paraId="5A4F4A7D" w14:textId="77777777" w:rsidR="00940F15" w:rsidRPr="00416A92" w:rsidRDefault="00940F15" w:rsidP="00C728B0">
      <w:pPr>
        <w:pStyle w:val="BulletHymans"/>
        <w:numPr>
          <w:ilvl w:val="0"/>
          <w:numId w:val="25"/>
        </w:numPr>
        <w:rPr>
          <w:sz w:val="24"/>
          <w:szCs w:val="24"/>
        </w:rPr>
      </w:pPr>
      <w:r w:rsidRPr="00416A92">
        <w:rPr>
          <w:sz w:val="24"/>
          <w:szCs w:val="24"/>
        </w:rPr>
        <w:t>fully reflect actuarial professional guidance and requirements in the advice given to the Administering Authority.</w:t>
      </w:r>
    </w:p>
    <w:p w14:paraId="2EE97860" w14:textId="77777777" w:rsidR="00940F15" w:rsidRPr="00416A92" w:rsidRDefault="003B1793" w:rsidP="00940F15">
      <w:pPr>
        <w:pStyle w:val="Appendix2"/>
        <w:rPr>
          <w:sz w:val="24"/>
          <w:szCs w:val="24"/>
        </w:rPr>
      </w:pPr>
      <w:r w:rsidRPr="00416A92">
        <w:rPr>
          <w:sz w:val="24"/>
          <w:szCs w:val="24"/>
        </w:rPr>
        <w:t>B4</w:t>
      </w:r>
      <w:r w:rsidRPr="00416A92">
        <w:rPr>
          <w:sz w:val="24"/>
          <w:szCs w:val="24"/>
        </w:rPr>
        <w:tab/>
      </w:r>
      <w:r w:rsidR="00940F15" w:rsidRPr="00416A92">
        <w:rPr>
          <w:sz w:val="24"/>
          <w:szCs w:val="24"/>
        </w:rPr>
        <w:t>Other parties:-</w:t>
      </w:r>
    </w:p>
    <w:p w14:paraId="4DBBC1FB" w14:textId="2E4E138F" w:rsidR="00940F15" w:rsidRPr="00416A92" w:rsidRDefault="00940F15" w:rsidP="00C728B0">
      <w:pPr>
        <w:pStyle w:val="BulletHymans"/>
        <w:numPr>
          <w:ilvl w:val="0"/>
          <w:numId w:val="24"/>
        </w:numPr>
        <w:rPr>
          <w:sz w:val="24"/>
          <w:szCs w:val="24"/>
        </w:rPr>
      </w:pPr>
      <w:r w:rsidRPr="00416A92">
        <w:rPr>
          <w:sz w:val="24"/>
          <w:szCs w:val="24"/>
        </w:rPr>
        <w:t xml:space="preserve">investment advisers (either internal or external) should ensure the Fund’s </w:t>
      </w:r>
      <w:r w:rsidR="00D7644C" w:rsidRPr="00416A92">
        <w:rPr>
          <w:sz w:val="24"/>
          <w:szCs w:val="24"/>
        </w:rPr>
        <w:t>ISS</w:t>
      </w:r>
      <w:r w:rsidRPr="00416A92">
        <w:rPr>
          <w:sz w:val="24"/>
          <w:szCs w:val="24"/>
        </w:rPr>
        <w:t xml:space="preserve"> remains appropriate, and consistent with this FSS;</w:t>
      </w:r>
    </w:p>
    <w:p w14:paraId="370DA27C" w14:textId="35DC56D4" w:rsidR="00940F15" w:rsidRPr="00416A92" w:rsidRDefault="00940F15" w:rsidP="00C728B0">
      <w:pPr>
        <w:pStyle w:val="BulletHymans"/>
        <w:numPr>
          <w:ilvl w:val="0"/>
          <w:numId w:val="24"/>
        </w:numPr>
        <w:rPr>
          <w:sz w:val="24"/>
          <w:szCs w:val="24"/>
        </w:rPr>
      </w:pPr>
      <w:r w:rsidRPr="00416A92">
        <w:rPr>
          <w:sz w:val="24"/>
          <w:szCs w:val="24"/>
        </w:rPr>
        <w:t xml:space="preserve">investment managers, custodians and bankers should all play their part in the effective investment (and dis-investment) of Fund assets, in line with the </w:t>
      </w:r>
      <w:r w:rsidR="00D7644C" w:rsidRPr="00416A92">
        <w:rPr>
          <w:sz w:val="24"/>
          <w:szCs w:val="24"/>
        </w:rPr>
        <w:t>ISS</w:t>
      </w:r>
      <w:r w:rsidRPr="00416A92">
        <w:rPr>
          <w:sz w:val="24"/>
          <w:szCs w:val="24"/>
        </w:rPr>
        <w:t>;</w:t>
      </w:r>
    </w:p>
    <w:p w14:paraId="211F42E5" w14:textId="77777777" w:rsidR="00940F15" w:rsidRPr="00416A92" w:rsidRDefault="00940F15" w:rsidP="00C728B0">
      <w:pPr>
        <w:pStyle w:val="BulletHymans"/>
        <w:numPr>
          <w:ilvl w:val="0"/>
          <w:numId w:val="24"/>
        </w:numPr>
        <w:rPr>
          <w:sz w:val="24"/>
          <w:szCs w:val="24"/>
        </w:rPr>
      </w:pPr>
      <w:r w:rsidRPr="00416A92">
        <w:rPr>
          <w:sz w:val="24"/>
          <w:szCs w:val="24"/>
        </w:rPr>
        <w:t>auditors should comply with their auditing standards, ensure Fund compliance with all requirements, monitor and advise on fraud detection, and sign off annual reports and financial statements as required;</w:t>
      </w:r>
    </w:p>
    <w:p w14:paraId="4756087C" w14:textId="77777777" w:rsidR="00940F15" w:rsidRPr="00416A92" w:rsidRDefault="00940F15" w:rsidP="00C728B0">
      <w:pPr>
        <w:pStyle w:val="BulletHymans"/>
        <w:numPr>
          <w:ilvl w:val="0"/>
          <w:numId w:val="24"/>
        </w:numPr>
        <w:rPr>
          <w:sz w:val="24"/>
          <w:szCs w:val="24"/>
        </w:rPr>
      </w:pPr>
      <w:r w:rsidRPr="00416A92">
        <w:rPr>
          <w:sz w:val="24"/>
          <w:szCs w:val="24"/>
        </w:rPr>
        <w:t>governance advisers may be appointed to advise the Administering Authority on efficient processes and working methods in managing the Fund;</w:t>
      </w:r>
    </w:p>
    <w:p w14:paraId="1A84E981" w14:textId="77777777" w:rsidR="00D7644C" w:rsidRPr="00416A92" w:rsidRDefault="00940F15" w:rsidP="00C728B0">
      <w:pPr>
        <w:pStyle w:val="BulletHymans"/>
        <w:numPr>
          <w:ilvl w:val="0"/>
          <w:numId w:val="24"/>
        </w:numPr>
        <w:rPr>
          <w:sz w:val="24"/>
          <w:szCs w:val="24"/>
        </w:rPr>
      </w:pPr>
      <w:r w:rsidRPr="00416A92">
        <w:rPr>
          <w:sz w:val="24"/>
          <w:szCs w:val="24"/>
        </w:rPr>
        <w:t>legal advisers (either internal or external) should ensure the Fund’s operation and management remains fully compliant with all regulations and broader local government requirements, including the Administering Authority’s own procedures</w:t>
      </w:r>
      <w:r w:rsidR="00D7644C" w:rsidRPr="00416A92">
        <w:rPr>
          <w:sz w:val="24"/>
          <w:szCs w:val="24"/>
        </w:rPr>
        <w:t>;</w:t>
      </w:r>
    </w:p>
    <w:p w14:paraId="4A9046DA" w14:textId="60FBD0CA" w:rsidR="00E61B64" w:rsidRDefault="00494043" w:rsidP="00C728B0">
      <w:pPr>
        <w:pStyle w:val="BulletHymans"/>
        <w:numPr>
          <w:ilvl w:val="0"/>
          <w:numId w:val="24"/>
        </w:numPr>
      </w:pPr>
      <w:r w:rsidRPr="00416A92">
        <w:rPr>
          <w:sz w:val="24"/>
          <w:szCs w:val="24"/>
        </w:rPr>
        <w:t xml:space="preserve">MHCLG </w:t>
      </w:r>
      <w:r w:rsidR="00D7644C" w:rsidRPr="00416A92">
        <w:rPr>
          <w:sz w:val="24"/>
          <w:szCs w:val="24"/>
        </w:rPr>
        <w:t>(assisted by the Government Actuary’s Department) and the Scheme Advisory Board, should work with LGPS Funds to meet Section 13 requirements</w:t>
      </w:r>
      <w:r w:rsidR="00940F15" w:rsidRPr="00416A92">
        <w:rPr>
          <w:sz w:val="24"/>
          <w:szCs w:val="24"/>
        </w:rPr>
        <w:t>.</w:t>
      </w:r>
    </w:p>
    <w:p w14:paraId="1BFAEFD1" w14:textId="77777777" w:rsidR="00940F15" w:rsidRDefault="00940F15">
      <w:pPr>
        <w:spacing w:after="20" w:line="240" w:lineRule="auto"/>
        <w:jc w:val="left"/>
        <w:rPr>
          <w:color w:val="4B4B4B"/>
          <w:lang w:eastAsia="en-US"/>
        </w:rPr>
      </w:pPr>
      <w:r>
        <w:br w:type="page"/>
      </w:r>
    </w:p>
    <w:p w14:paraId="04CED782" w14:textId="77777777" w:rsidR="00940F15" w:rsidRDefault="00940F15" w:rsidP="00940F15">
      <w:pPr>
        <w:pStyle w:val="Appendix1"/>
      </w:pPr>
      <w:bookmarkStart w:id="42" w:name="_Toc357155094"/>
      <w:bookmarkStart w:id="43" w:name="AppendixC"/>
      <w:r>
        <w:lastRenderedPageBreak/>
        <w:t>Appendix C – Key risks and controls</w:t>
      </w:r>
      <w:bookmarkEnd w:id="42"/>
    </w:p>
    <w:bookmarkEnd w:id="43"/>
    <w:p w14:paraId="0E2E3AA5" w14:textId="77777777" w:rsidR="00940F15" w:rsidRPr="00416A92" w:rsidRDefault="00940F15" w:rsidP="00940F15">
      <w:pPr>
        <w:pStyle w:val="Appendix2"/>
        <w:rPr>
          <w:sz w:val="24"/>
          <w:szCs w:val="24"/>
        </w:rPr>
      </w:pPr>
      <w:r w:rsidRPr="00416A92">
        <w:rPr>
          <w:sz w:val="24"/>
          <w:szCs w:val="24"/>
        </w:rPr>
        <w:t>C1</w:t>
      </w:r>
      <w:r w:rsidRPr="00416A92">
        <w:rPr>
          <w:sz w:val="24"/>
          <w:szCs w:val="24"/>
        </w:rPr>
        <w:tab/>
        <w:t>Types of risk</w:t>
      </w:r>
    </w:p>
    <w:p w14:paraId="1E8C8A0F" w14:textId="77777777" w:rsidR="0012092B" w:rsidRPr="00416A92" w:rsidRDefault="00084CC1" w:rsidP="0012092B">
      <w:pPr>
        <w:pStyle w:val="BodyTextGrey"/>
        <w:rPr>
          <w:sz w:val="24"/>
          <w:szCs w:val="24"/>
        </w:rPr>
      </w:pPr>
      <w:r w:rsidRPr="00416A92">
        <w:rPr>
          <w:sz w:val="24"/>
          <w:szCs w:val="24"/>
        </w:rPr>
        <w:t>The Administering Authority</w:t>
      </w:r>
      <w:r w:rsidR="0012092B" w:rsidRPr="00416A92">
        <w:rPr>
          <w:sz w:val="24"/>
          <w:szCs w:val="24"/>
        </w:rPr>
        <w:t xml:space="preserve"> has an active risk management programme in place.  The measures that </w:t>
      </w:r>
      <w:r w:rsidRPr="00416A92">
        <w:rPr>
          <w:sz w:val="24"/>
          <w:szCs w:val="24"/>
        </w:rPr>
        <w:t xml:space="preserve">it </w:t>
      </w:r>
      <w:r w:rsidR="0012092B" w:rsidRPr="00416A92">
        <w:rPr>
          <w:sz w:val="24"/>
          <w:szCs w:val="24"/>
        </w:rPr>
        <w:t xml:space="preserve">has in place to control key risks are summarised below under the following headings: </w:t>
      </w:r>
    </w:p>
    <w:p w14:paraId="10992B2F" w14:textId="77777777" w:rsidR="0012092B" w:rsidRPr="00416A92" w:rsidRDefault="0012092B" w:rsidP="0012092B">
      <w:pPr>
        <w:pStyle w:val="BulletHymans"/>
        <w:rPr>
          <w:sz w:val="24"/>
          <w:szCs w:val="24"/>
        </w:rPr>
      </w:pPr>
      <w:r w:rsidRPr="00416A92">
        <w:rPr>
          <w:sz w:val="24"/>
          <w:szCs w:val="24"/>
        </w:rPr>
        <w:t xml:space="preserve">financial; </w:t>
      </w:r>
    </w:p>
    <w:p w14:paraId="5F1A535C" w14:textId="77777777" w:rsidR="0012092B" w:rsidRPr="00416A92" w:rsidRDefault="0012092B" w:rsidP="0012092B">
      <w:pPr>
        <w:pStyle w:val="BulletHymans"/>
        <w:rPr>
          <w:sz w:val="24"/>
          <w:szCs w:val="24"/>
        </w:rPr>
      </w:pPr>
      <w:r w:rsidRPr="00416A92">
        <w:rPr>
          <w:sz w:val="24"/>
          <w:szCs w:val="24"/>
        </w:rPr>
        <w:t>demographic;</w:t>
      </w:r>
    </w:p>
    <w:p w14:paraId="0FFCCD7C" w14:textId="77777777" w:rsidR="0012092B" w:rsidRPr="00416A92" w:rsidRDefault="0012092B" w:rsidP="0012092B">
      <w:pPr>
        <w:pStyle w:val="BulletHymans"/>
        <w:rPr>
          <w:sz w:val="24"/>
          <w:szCs w:val="24"/>
        </w:rPr>
      </w:pPr>
      <w:r w:rsidRPr="00416A92">
        <w:rPr>
          <w:sz w:val="24"/>
          <w:szCs w:val="24"/>
        </w:rPr>
        <w:t>regulatory; and</w:t>
      </w:r>
    </w:p>
    <w:p w14:paraId="7063D873" w14:textId="77777777" w:rsidR="00940F15" w:rsidRPr="00416A92" w:rsidRDefault="0012092B" w:rsidP="0012092B">
      <w:pPr>
        <w:pStyle w:val="BulletHymans"/>
        <w:rPr>
          <w:sz w:val="24"/>
          <w:szCs w:val="24"/>
        </w:rPr>
      </w:pPr>
      <w:r w:rsidRPr="00416A92">
        <w:rPr>
          <w:sz w:val="24"/>
          <w:szCs w:val="24"/>
        </w:rPr>
        <w:t>governance.</w:t>
      </w:r>
    </w:p>
    <w:p w14:paraId="41739BC7" w14:textId="77777777" w:rsidR="0012092B" w:rsidRPr="00416A92" w:rsidRDefault="0012092B" w:rsidP="0012092B">
      <w:pPr>
        <w:pStyle w:val="Appendix2"/>
        <w:rPr>
          <w:sz w:val="24"/>
          <w:szCs w:val="24"/>
        </w:rPr>
      </w:pPr>
      <w:r w:rsidRPr="00416A92">
        <w:rPr>
          <w:sz w:val="24"/>
          <w:szCs w:val="24"/>
        </w:rPr>
        <w:t>C2</w:t>
      </w:r>
      <w:r w:rsidRPr="00416A92">
        <w:rPr>
          <w:sz w:val="24"/>
          <w:szCs w:val="24"/>
        </w:rPr>
        <w:tab/>
        <w:t>Financial risks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5125"/>
      </w:tblGrid>
      <w:tr w:rsidR="0012092B" w:rsidRPr="00014F6A" w14:paraId="74A3A602" w14:textId="77777777" w:rsidTr="00192519">
        <w:trPr>
          <w:trHeight w:val="458"/>
          <w:tblHeader/>
        </w:trPr>
        <w:tc>
          <w:tcPr>
            <w:tcW w:w="4514" w:type="dxa"/>
            <w:vAlign w:val="center"/>
          </w:tcPr>
          <w:p w14:paraId="0B2BFFA2" w14:textId="77777777" w:rsidR="0012092B" w:rsidRPr="00416A92" w:rsidRDefault="0012092B" w:rsidP="00192519">
            <w:pPr>
              <w:pStyle w:val="BodyTextGrey"/>
              <w:spacing w:after="20" w:line="240" w:lineRule="auto"/>
              <w:rPr>
                <w:b/>
                <w:sz w:val="24"/>
                <w:szCs w:val="24"/>
              </w:rPr>
            </w:pPr>
            <w:r w:rsidRPr="00416A92">
              <w:rPr>
                <w:b/>
                <w:sz w:val="24"/>
                <w:szCs w:val="24"/>
              </w:rPr>
              <w:t>Risk</w:t>
            </w:r>
          </w:p>
        </w:tc>
        <w:tc>
          <w:tcPr>
            <w:tcW w:w="5125" w:type="dxa"/>
            <w:vAlign w:val="center"/>
          </w:tcPr>
          <w:p w14:paraId="31FA9144" w14:textId="77777777" w:rsidR="0012092B" w:rsidRPr="00416A92" w:rsidRDefault="0012092B" w:rsidP="00192519">
            <w:pPr>
              <w:pStyle w:val="BodyTextGrey"/>
              <w:spacing w:after="20" w:line="240" w:lineRule="auto"/>
              <w:rPr>
                <w:b/>
                <w:sz w:val="24"/>
                <w:szCs w:val="24"/>
              </w:rPr>
            </w:pPr>
            <w:r w:rsidRPr="00416A92">
              <w:rPr>
                <w:b/>
                <w:sz w:val="24"/>
                <w:szCs w:val="24"/>
              </w:rPr>
              <w:t>Summary of Control Mechanisms</w:t>
            </w:r>
          </w:p>
        </w:tc>
      </w:tr>
      <w:tr w:rsidR="0012092B" w:rsidRPr="00014F6A" w14:paraId="333040AE" w14:textId="77777777" w:rsidTr="0012092B">
        <w:tc>
          <w:tcPr>
            <w:tcW w:w="4514" w:type="dxa"/>
          </w:tcPr>
          <w:p w14:paraId="45247F6E" w14:textId="40283AD4" w:rsidR="0012092B" w:rsidRPr="00416A92" w:rsidRDefault="0012092B" w:rsidP="0012092B">
            <w:pPr>
              <w:pStyle w:val="BodyTextGrey"/>
              <w:rPr>
                <w:sz w:val="24"/>
                <w:szCs w:val="24"/>
              </w:rPr>
            </w:pPr>
            <w:r w:rsidRPr="00416A92">
              <w:rPr>
                <w:sz w:val="24"/>
                <w:szCs w:val="24"/>
              </w:rPr>
              <w:t xml:space="preserve">Fund assets fail to deliver returns in line with the anticipated returns underpinning </w:t>
            </w:r>
            <w:r w:rsidR="00D7644C" w:rsidRPr="00416A92">
              <w:rPr>
                <w:sz w:val="24"/>
                <w:szCs w:val="24"/>
              </w:rPr>
              <w:t xml:space="preserve">the </w:t>
            </w:r>
            <w:r w:rsidRPr="00416A92">
              <w:rPr>
                <w:sz w:val="24"/>
                <w:szCs w:val="24"/>
              </w:rPr>
              <w:t xml:space="preserve">valuation of liabilities </w:t>
            </w:r>
            <w:r w:rsidR="00494043" w:rsidRPr="00416A92">
              <w:rPr>
                <w:sz w:val="24"/>
                <w:szCs w:val="24"/>
              </w:rPr>
              <w:t xml:space="preserve">and contribution rates </w:t>
            </w:r>
            <w:r w:rsidRPr="00416A92">
              <w:rPr>
                <w:sz w:val="24"/>
                <w:szCs w:val="24"/>
              </w:rPr>
              <w:t>over the long-term.</w:t>
            </w:r>
          </w:p>
        </w:tc>
        <w:tc>
          <w:tcPr>
            <w:tcW w:w="5125" w:type="dxa"/>
          </w:tcPr>
          <w:p w14:paraId="24397D99" w14:textId="17DEAE7E" w:rsidR="0012092B" w:rsidRPr="00416A92" w:rsidRDefault="0012092B" w:rsidP="0012092B">
            <w:pPr>
              <w:pStyle w:val="BodyTextGrey"/>
              <w:rPr>
                <w:sz w:val="24"/>
                <w:szCs w:val="24"/>
              </w:rPr>
            </w:pPr>
            <w:r w:rsidRPr="00416A92">
              <w:rPr>
                <w:sz w:val="24"/>
                <w:szCs w:val="24"/>
              </w:rPr>
              <w:t>Only anticipate long-term return</w:t>
            </w:r>
            <w:r w:rsidR="00D7644C" w:rsidRPr="00416A92">
              <w:rPr>
                <w:sz w:val="24"/>
                <w:szCs w:val="24"/>
              </w:rPr>
              <w:t>s</w:t>
            </w:r>
            <w:r w:rsidRPr="00416A92">
              <w:rPr>
                <w:sz w:val="24"/>
                <w:szCs w:val="24"/>
              </w:rPr>
              <w:t xml:space="preserve"> on a relatively prudent basis to reduce risk of under-performing.</w:t>
            </w:r>
          </w:p>
          <w:p w14:paraId="4C9419DE" w14:textId="77777777" w:rsidR="00084CC1" w:rsidRPr="00416A92" w:rsidRDefault="00084CC1" w:rsidP="0012092B">
            <w:pPr>
              <w:pStyle w:val="BodyTextGrey"/>
              <w:rPr>
                <w:sz w:val="24"/>
                <w:szCs w:val="24"/>
              </w:rPr>
            </w:pPr>
            <w:r w:rsidRPr="00416A92">
              <w:rPr>
                <w:sz w:val="24"/>
                <w:szCs w:val="24"/>
              </w:rPr>
              <w:t xml:space="preserve">Assets invested on the basis of specialist advice, in a suitably diversified manner </w:t>
            </w:r>
            <w:r w:rsidR="00B54260" w:rsidRPr="00416A92">
              <w:rPr>
                <w:sz w:val="24"/>
                <w:szCs w:val="24"/>
              </w:rPr>
              <w:t>across asset classes, geographie</w:t>
            </w:r>
            <w:r w:rsidRPr="00416A92">
              <w:rPr>
                <w:sz w:val="24"/>
                <w:szCs w:val="24"/>
              </w:rPr>
              <w:t>s, managers, etc.</w:t>
            </w:r>
          </w:p>
          <w:p w14:paraId="68B137D5" w14:textId="77777777" w:rsidR="0012092B" w:rsidRPr="00416A92" w:rsidRDefault="0012092B" w:rsidP="0012092B">
            <w:pPr>
              <w:pStyle w:val="BodyTextGrey"/>
              <w:rPr>
                <w:sz w:val="24"/>
                <w:szCs w:val="24"/>
              </w:rPr>
            </w:pPr>
            <w:r w:rsidRPr="00416A92">
              <w:rPr>
                <w:sz w:val="24"/>
                <w:szCs w:val="24"/>
              </w:rPr>
              <w:t xml:space="preserve">Analyse progress at three yearly valuations for all employers.  </w:t>
            </w:r>
          </w:p>
          <w:p w14:paraId="71B7CC94" w14:textId="77777777" w:rsidR="0012092B" w:rsidRPr="00416A92" w:rsidRDefault="0012092B" w:rsidP="0012092B">
            <w:pPr>
              <w:pStyle w:val="BodyTextGrey"/>
              <w:rPr>
                <w:i/>
                <w:sz w:val="24"/>
                <w:szCs w:val="24"/>
              </w:rPr>
            </w:pPr>
            <w:r w:rsidRPr="00416A92">
              <w:rPr>
                <w:sz w:val="24"/>
                <w:szCs w:val="24"/>
              </w:rPr>
              <w:t>Inter-valuation roll-forward of liabilities bet</w:t>
            </w:r>
            <w:r w:rsidR="00084CC1" w:rsidRPr="00416A92">
              <w:rPr>
                <w:sz w:val="24"/>
                <w:szCs w:val="24"/>
              </w:rPr>
              <w:t>ween valuations at whole F</w:t>
            </w:r>
            <w:r w:rsidRPr="00416A92">
              <w:rPr>
                <w:sz w:val="24"/>
                <w:szCs w:val="24"/>
              </w:rPr>
              <w:t>und level.</w:t>
            </w:r>
            <w:r w:rsidRPr="00416A92">
              <w:rPr>
                <w:i/>
                <w:sz w:val="24"/>
                <w:szCs w:val="24"/>
              </w:rPr>
              <w:t xml:space="preserve">   </w:t>
            </w:r>
          </w:p>
        </w:tc>
      </w:tr>
      <w:tr w:rsidR="0012092B" w:rsidRPr="00014F6A" w14:paraId="20E7789E" w14:textId="77777777" w:rsidTr="0012092B">
        <w:tc>
          <w:tcPr>
            <w:tcW w:w="4514" w:type="dxa"/>
          </w:tcPr>
          <w:p w14:paraId="5D2E10E0" w14:textId="77777777" w:rsidR="0012092B" w:rsidRPr="00416A92" w:rsidRDefault="0012092B" w:rsidP="0012092B">
            <w:pPr>
              <w:pStyle w:val="BodyTextGrey"/>
              <w:rPr>
                <w:sz w:val="24"/>
                <w:szCs w:val="24"/>
              </w:rPr>
            </w:pPr>
            <w:r w:rsidRPr="00416A92">
              <w:rPr>
                <w:sz w:val="24"/>
                <w:szCs w:val="24"/>
              </w:rPr>
              <w:t xml:space="preserve">Inappropriate long-term investment strategy. </w:t>
            </w:r>
          </w:p>
        </w:tc>
        <w:tc>
          <w:tcPr>
            <w:tcW w:w="5125" w:type="dxa"/>
          </w:tcPr>
          <w:p w14:paraId="4B4A4E05" w14:textId="77777777" w:rsidR="0012092B" w:rsidRPr="00416A92" w:rsidRDefault="0012092B" w:rsidP="0012092B">
            <w:pPr>
              <w:pStyle w:val="BodyTextGrey"/>
              <w:rPr>
                <w:sz w:val="24"/>
                <w:szCs w:val="24"/>
              </w:rPr>
            </w:pPr>
            <w:r w:rsidRPr="00416A92">
              <w:rPr>
                <w:sz w:val="24"/>
                <w:szCs w:val="24"/>
              </w:rPr>
              <w:t xml:space="preserve">Overall investment strategy options considered as an integral part of the funding strategy.  Used asset liability modelling to measure 4 key outcomes.  </w:t>
            </w:r>
          </w:p>
          <w:p w14:paraId="09681A42" w14:textId="77777777" w:rsidR="0012092B" w:rsidRPr="00416A92" w:rsidRDefault="0012092B" w:rsidP="0012092B">
            <w:pPr>
              <w:pStyle w:val="BodyTextGrey"/>
              <w:rPr>
                <w:sz w:val="24"/>
                <w:szCs w:val="24"/>
              </w:rPr>
            </w:pPr>
            <w:r w:rsidRPr="00416A92">
              <w:rPr>
                <w:sz w:val="24"/>
                <w:szCs w:val="24"/>
              </w:rPr>
              <w:t>Chosen option consider</w:t>
            </w:r>
            <w:r w:rsidR="00084CC1" w:rsidRPr="00416A92">
              <w:rPr>
                <w:sz w:val="24"/>
                <w:szCs w:val="24"/>
              </w:rPr>
              <w:t>ed</w:t>
            </w:r>
            <w:r w:rsidRPr="00416A92">
              <w:rPr>
                <w:sz w:val="24"/>
                <w:szCs w:val="24"/>
              </w:rPr>
              <w:t xml:space="preserve"> to provide the best balance.</w:t>
            </w:r>
          </w:p>
          <w:p w14:paraId="7C9FFE30" w14:textId="21134D7D" w:rsidR="00494043" w:rsidRPr="00416A92" w:rsidRDefault="00494043" w:rsidP="0012092B">
            <w:pPr>
              <w:pStyle w:val="BodyTextGrey"/>
              <w:rPr>
                <w:sz w:val="24"/>
                <w:szCs w:val="24"/>
              </w:rPr>
            </w:pPr>
          </w:p>
        </w:tc>
      </w:tr>
      <w:tr w:rsidR="0012092B" w:rsidRPr="00014F6A" w14:paraId="2E1793C0" w14:textId="77777777" w:rsidTr="0012092B">
        <w:tc>
          <w:tcPr>
            <w:tcW w:w="4514" w:type="dxa"/>
          </w:tcPr>
          <w:p w14:paraId="127D59AE" w14:textId="77777777" w:rsidR="0012092B" w:rsidRPr="00416A92" w:rsidRDefault="0012092B" w:rsidP="0012092B">
            <w:pPr>
              <w:pStyle w:val="BodyTextGrey"/>
              <w:rPr>
                <w:sz w:val="24"/>
                <w:szCs w:val="24"/>
              </w:rPr>
            </w:pPr>
            <w:r w:rsidRPr="00416A92">
              <w:rPr>
                <w:sz w:val="24"/>
                <w:szCs w:val="24"/>
              </w:rPr>
              <w:t>Active investment manager under-performance relative to benchmark.</w:t>
            </w:r>
          </w:p>
        </w:tc>
        <w:tc>
          <w:tcPr>
            <w:tcW w:w="5125" w:type="dxa"/>
          </w:tcPr>
          <w:p w14:paraId="6DE61098" w14:textId="77777777" w:rsidR="0012092B" w:rsidRPr="00416A92" w:rsidRDefault="0012092B" w:rsidP="0012092B">
            <w:pPr>
              <w:pStyle w:val="BodyTextGrey"/>
              <w:rPr>
                <w:sz w:val="24"/>
                <w:szCs w:val="24"/>
              </w:rPr>
            </w:pPr>
            <w:r w:rsidRPr="00416A92">
              <w:rPr>
                <w:sz w:val="24"/>
                <w:szCs w:val="24"/>
              </w:rPr>
              <w:t xml:space="preserve">Quarterly investment monitoring analyses market performance and active managers relative to their index benchmark.  </w:t>
            </w:r>
          </w:p>
        </w:tc>
      </w:tr>
      <w:tr w:rsidR="0012092B" w:rsidRPr="00014F6A" w14:paraId="025EB9EF" w14:textId="77777777" w:rsidTr="0012092B">
        <w:tc>
          <w:tcPr>
            <w:tcW w:w="4514" w:type="dxa"/>
          </w:tcPr>
          <w:p w14:paraId="598C0264" w14:textId="77777777" w:rsidR="0012092B" w:rsidRPr="00416A92" w:rsidRDefault="0012092B" w:rsidP="0012092B">
            <w:pPr>
              <w:pStyle w:val="BodyTextGrey"/>
              <w:rPr>
                <w:sz w:val="24"/>
                <w:szCs w:val="24"/>
              </w:rPr>
            </w:pPr>
            <w:r w:rsidRPr="00416A92">
              <w:rPr>
                <w:sz w:val="24"/>
                <w:szCs w:val="24"/>
              </w:rPr>
              <w:t>Pay and price inflation significantly more than anticipated.</w:t>
            </w:r>
          </w:p>
        </w:tc>
        <w:tc>
          <w:tcPr>
            <w:tcW w:w="5125" w:type="dxa"/>
          </w:tcPr>
          <w:p w14:paraId="6B44A7C4" w14:textId="77777777" w:rsidR="0012092B" w:rsidRPr="00416A92" w:rsidRDefault="0012092B" w:rsidP="0012092B">
            <w:pPr>
              <w:pStyle w:val="BodyTextGrey"/>
              <w:rPr>
                <w:sz w:val="24"/>
                <w:szCs w:val="24"/>
              </w:rPr>
            </w:pPr>
            <w:r w:rsidRPr="00416A92">
              <w:rPr>
                <w:sz w:val="24"/>
                <w:szCs w:val="24"/>
              </w:rPr>
              <w:t xml:space="preserve">The focus of the actuarial valuation process is on real returns on assets, net of price and pay increases. </w:t>
            </w:r>
          </w:p>
          <w:p w14:paraId="43E50A8E" w14:textId="77777777" w:rsidR="0012092B" w:rsidRPr="00416A92" w:rsidRDefault="0012092B" w:rsidP="0012092B">
            <w:pPr>
              <w:pStyle w:val="BodyTextGrey"/>
              <w:rPr>
                <w:sz w:val="24"/>
                <w:szCs w:val="24"/>
              </w:rPr>
            </w:pPr>
            <w:r w:rsidRPr="00416A92">
              <w:rPr>
                <w:sz w:val="24"/>
                <w:szCs w:val="24"/>
              </w:rPr>
              <w:t xml:space="preserve">Inter-valuation monitoring, as above, gives early warning. </w:t>
            </w:r>
          </w:p>
          <w:p w14:paraId="44D2C945" w14:textId="77777777" w:rsidR="0012092B" w:rsidRPr="00416A92" w:rsidRDefault="0012092B" w:rsidP="0012092B">
            <w:pPr>
              <w:pStyle w:val="BodyTextGrey"/>
              <w:rPr>
                <w:sz w:val="24"/>
                <w:szCs w:val="24"/>
              </w:rPr>
            </w:pPr>
            <w:r w:rsidRPr="00416A92">
              <w:rPr>
                <w:sz w:val="24"/>
                <w:szCs w:val="24"/>
              </w:rPr>
              <w:lastRenderedPageBreak/>
              <w:t xml:space="preserve">Some investment in bonds also helps to mitigate this risk.  </w:t>
            </w:r>
          </w:p>
          <w:p w14:paraId="6580342E" w14:textId="77777777" w:rsidR="0012092B" w:rsidRPr="00416A92" w:rsidRDefault="0012092B" w:rsidP="0012092B">
            <w:pPr>
              <w:pStyle w:val="BodyTextGrey"/>
              <w:rPr>
                <w:i/>
                <w:sz w:val="24"/>
                <w:szCs w:val="24"/>
              </w:rPr>
            </w:pPr>
            <w:r w:rsidRPr="00416A92">
              <w:rPr>
                <w:sz w:val="24"/>
                <w:szCs w:val="24"/>
              </w:rPr>
              <w:t>Employers pay for their own salary awards and should be mindful of the geared effect on pension liabilities of any bias in pensionable pay rises towards longer-serving employees.</w:t>
            </w:r>
            <w:r w:rsidRPr="00416A92">
              <w:rPr>
                <w:i/>
                <w:sz w:val="24"/>
                <w:szCs w:val="24"/>
              </w:rPr>
              <w:t xml:space="preserve">  </w:t>
            </w:r>
          </w:p>
        </w:tc>
      </w:tr>
      <w:tr w:rsidR="0012092B" w:rsidRPr="00014F6A" w14:paraId="6C3D669C" w14:textId="77777777" w:rsidTr="0012092B">
        <w:tc>
          <w:tcPr>
            <w:tcW w:w="4514" w:type="dxa"/>
          </w:tcPr>
          <w:p w14:paraId="070FA48C" w14:textId="77777777" w:rsidR="0012092B" w:rsidRPr="00416A92" w:rsidRDefault="0012092B" w:rsidP="0012092B">
            <w:pPr>
              <w:pStyle w:val="BodyTextGrey"/>
              <w:rPr>
                <w:sz w:val="24"/>
                <w:szCs w:val="24"/>
              </w:rPr>
            </w:pPr>
            <w:r w:rsidRPr="00416A92">
              <w:rPr>
                <w:sz w:val="24"/>
                <w:szCs w:val="24"/>
              </w:rPr>
              <w:lastRenderedPageBreak/>
              <w:t>Effect of possible increase in employer’s contribution rate on service delivery and admission/scheduled bodies</w:t>
            </w:r>
          </w:p>
        </w:tc>
        <w:tc>
          <w:tcPr>
            <w:tcW w:w="5125" w:type="dxa"/>
          </w:tcPr>
          <w:p w14:paraId="7E285477" w14:textId="77777777" w:rsidR="0012092B" w:rsidRPr="00416A92" w:rsidRDefault="0012092B" w:rsidP="0012092B">
            <w:pPr>
              <w:pStyle w:val="BodyTextGrey"/>
              <w:rPr>
                <w:sz w:val="24"/>
                <w:szCs w:val="24"/>
              </w:rPr>
            </w:pPr>
            <w:r w:rsidRPr="00416A92">
              <w:rPr>
                <w:sz w:val="24"/>
                <w:szCs w:val="24"/>
              </w:rPr>
              <w:t>An explicit stabilisation mechanism has been agreed as part of the funding strategy.</w:t>
            </w:r>
            <w:r w:rsidR="00084CC1" w:rsidRPr="00416A92">
              <w:rPr>
                <w:sz w:val="24"/>
                <w:szCs w:val="24"/>
              </w:rPr>
              <w:t xml:space="preserve">  Other measures are also in place to limit sudden increases in contributions.</w:t>
            </w:r>
          </w:p>
        </w:tc>
      </w:tr>
      <w:tr w:rsidR="00084CC1" w:rsidRPr="00014F6A" w14:paraId="28DC0D5C" w14:textId="77777777" w:rsidTr="0012092B">
        <w:tc>
          <w:tcPr>
            <w:tcW w:w="4514" w:type="dxa"/>
          </w:tcPr>
          <w:p w14:paraId="0A96564D" w14:textId="77777777" w:rsidR="00084CC1" w:rsidRPr="00416A92" w:rsidRDefault="00084CC1" w:rsidP="0012092B">
            <w:pPr>
              <w:pStyle w:val="BodyTextGrey"/>
              <w:rPr>
                <w:sz w:val="24"/>
                <w:szCs w:val="24"/>
              </w:rPr>
            </w:pPr>
            <w:r w:rsidRPr="00416A92">
              <w:rPr>
                <w:sz w:val="24"/>
                <w:szCs w:val="24"/>
              </w:rPr>
              <w:t>Orphaned employers give rise to added costs for the Fund</w:t>
            </w:r>
          </w:p>
        </w:tc>
        <w:tc>
          <w:tcPr>
            <w:tcW w:w="5125" w:type="dxa"/>
          </w:tcPr>
          <w:p w14:paraId="4479838A" w14:textId="77777777" w:rsidR="00084CC1" w:rsidRPr="00416A92" w:rsidRDefault="00084CC1" w:rsidP="0012092B">
            <w:pPr>
              <w:pStyle w:val="BodyTextGrey"/>
              <w:rPr>
                <w:sz w:val="24"/>
                <w:szCs w:val="24"/>
              </w:rPr>
            </w:pPr>
            <w:r w:rsidRPr="00416A92">
              <w:rPr>
                <w:sz w:val="24"/>
                <w:szCs w:val="24"/>
              </w:rPr>
              <w:t>The Fund seeks a cessation debt (or security/guarantor) to minimise the risk of this happening in the future.</w:t>
            </w:r>
          </w:p>
          <w:p w14:paraId="04B82E7C" w14:textId="0CB69CC2" w:rsidR="00084CC1" w:rsidRPr="00416A92" w:rsidRDefault="00084CC1" w:rsidP="0012092B">
            <w:pPr>
              <w:pStyle w:val="BodyTextGrey"/>
              <w:rPr>
                <w:sz w:val="24"/>
                <w:szCs w:val="24"/>
              </w:rPr>
            </w:pPr>
            <w:r w:rsidRPr="00416A92">
              <w:rPr>
                <w:sz w:val="24"/>
                <w:szCs w:val="24"/>
              </w:rPr>
              <w:t xml:space="preserve">If it occurs, the Actuary calculates the added cost spread pro-rata among all employers – </w:t>
            </w:r>
            <w:r w:rsidR="00223C88" w:rsidRPr="00416A92">
              <w:rPr>
                <w:sz w:val="24"/>
                <w:szCs w:val="24"/>
              </w:rPr>
              <w:t>(</w:t>
            </w:r>
            <w:r w:rsidRPr="00416A92">
              <w:rPr>
                <w:sz w:val="24"/>
                <w:szCs w:val="24"/>
              </w:rPr>
              <w:t xml:space="preserve">see </w:t>
            </w:r>
            <w:hyperlink w:anchor="EmployersWithNoRemainingActiveMembers3_9" w:history="1">
              <w:r w:rsidRPr="00416A92">
                <w:rPr>
                  <w:rStyle w:val="Hyperlink"/>
                  <w:sz w:val="24"/>
                  <w:szCs w:val="24"/>
                </w:rPr>
                <w:t>3.9</w:t>
              </w:r>
            </w:hyperlink>
            <w:r w:rsidR="00223C88" w:rsidRPr="00416A92">
              <w:rPr>
                <w:sz w:val="24"/>
                <w:szCs w:val="24"/>
              </w:rPr>
              <w:t>)</w:t>
            </w:r>
            <w:r w:rsidRPr="00416A92">
              <w:rPr>
                <w:sz w:val="24"/>
                <w:szCs w:val="24"/>
              </w:rPr>
              <w:t>.</w:t>
            </w:r>
          </w:p>
        </w:tc>
      </w:tr>
      <w:tr w:rsidR="0035093B" w:rsidRPr="00014F6A" w14:paraId="6FB5B8C2" w14:textId="77777777" w:rsidTr="0012092B">
        <w:tc>
          <w:tcPr>
            <w:tcW w:w="4514" w:type="dxa"/>
          </w:tcPr>
          <w:p w14:paraId="0FE28EDC" w14:textId="460F8DF9" w:rsidR="0035093B" w:rsidRPr="00416A92" w:rsidRDefault="0035093B" w:rsidP="0012092B">
            <w:pPr>
              <w:pStyle w:val="BodyTextGrey"/>
              <w:rPr>
                <w:sz w:val="24"/>
                <w:szCs w:val="24"/>
              </w:rPr>
            </w:pPr>
            <w:r w:rsidRPr="00416A92">
              <w:rPr>
                <w:sz w:val="24"/>
                <w:szCs w:val="24"/>
              </w:rPr>
              <w:t>Liquidity issues posed by significant cessations posed by employers in surplus funding position</w:t>
            </w:r>
          </w:p>
        </w:tc>
        <w:tc>
          <w:tcPr>
            <w:tcW w:w="5125" w:type="dxa"/>
          </w:tcPr>
          <w:p w14:paraId="76C4D560" w14:textId="6265EBEC" w:rsidR="0035093B" w:rsidRPr="00416A92" w:rsidRDefault="0035093B" w:rsidP="0035093B">
            <w:pPr>
              <w:pStyle w:val="BodyTextGrey"/>
              <w:rPr>
                <w:sz w:val="24"/>
                <w:szCs w:val="24"/>
              </w:rPr>
            </w:pPr>
            <w:r w:rsidRPr="00416A92">
              <w:rPr>
                <w:sz w:val="24"/>
                <w:szCs w:val="24"/>
              </w:rPr>
              <w:t xml:space="preserve">Careful monitoring of funding levels at </w:t>
            </w:r>
            <w:r w:rsidR="00BF7986" w:rsidRPr="00416A92">
              <w:rPr>
                <w:sz w:val="24"/>
                <w:szCs w:val="24"/>
              </w:rPr>
              <w:t>formal</w:t>
            </w:r>
            <w:r w:rsidRPr="00416A92">
              <w:rPr>
                <w:sz w:val="24"/>
                <w:szCs w:val="24"/>
              </w:rPr>
              <w:t xml:space="preserve"> valuations, and allowing contribution holidays where appropriate to ensure employers do not generate significant surplus positions</w:t>
            </w:r>
          </w:p>
          <w:p w14:paraId="018F40CD" w14:textId="6169BBCD" w:rsidR="0035093B" w:rsidRPr="00416A92" w:rsidRDefault="0035093B" w:rsidP="0035093B">
            <w:pPr>
              <w:pStyle w:val="BodyTextGrey"/>
              <w:rPr>
                <w:sz w:val="24"/>
                <w:szCs w:val="24"/>
              </w:rPr>
            </w:pPr>
            <w:r w:rsidRPr="00416A92">
              <w:rPr>
                <w:sz w:val="24"/>
                <w:szCs w:val="24"/>
              </w:rPr>
              <w:t>Ensuring that the Fund’s investment strategy allows for a significant proportion of liquid investments and asset classes</w:t>
            </w:r>
          </w:p>
        </w:tc>
      </w:tr>
      <w:tr w:rsidR="00494043" w:rsidRPr="00014F6A" w14:paraId="6BA7C368" w14:textId="77777777" w:rsidTr="0017378E">
        <w:tc>
          <w:tcPr>
            <w:tcW w:w="4514" w:type="dxa"/>
          </w:tcPr>
          <w:p w14:paraId="033D69BC" w14:textId="77777777" w:rsidR="00494043" w:rsidRPr="00416A92" w:rsidRDefault="00494043" w:rsidP="0017378E">
            <w:pPr>
              <w:pStyle w:val="BodyTextGrey"/>
              <w:rPr>
                <w:sz w:val="24"/>
                <w:szCs w:val="24"/>
              </w:rPr>
            </w:pPr>
            <w:r w:rsidRPr="00FC38AD">
              <w:rPr>
                <w:sz w:val="24"/>
                <w:szCs w:val="24"/>
              </w:rPr>
              <w:t>Effect of possible asset underperformance as a result of climate change</w:t>
            </w:r>
          </w:p>
        </w:tc>
        <w:tc>
          <w:tcPr>
            <w:tcW w:w="5125" w:type="dxa"/>
          </w:tcPr>
          <w:p w14:paraId="4133649D" w14:textId="37A4CC22" w:rsidR="00494043" w:rsidRPr="00416A92" w:rsidRDefault="00795447" w:rsidP="00FC38AD">
            <w:pPr>
              <w:pStyle w:val="BodyTextGrey"/>
              <w:rPr>
                <w:sz w:val="24"/>
                <w:szCs w:val="24"/>
              </w:rPr>
            </w:pPr>
            <w:r w:rsidRPr="00416A92">
              <w:rPr>
                <w:sz w:val="24"/>
                <w:szCs w:val="24"/>
              </w:rPr>
              <w:t>The impact of climate change on long term funding has been modelled and considered as part of the formal 2019 actuarial valuation.</w:t>
            </w:r>
          </w:p>
        </w:tc>
      </w:tr>
    </w:tbl>
    <w:p w14:paraId="1CF952BF" w14:textId="77777777" w:rsidR="0012092B" w:rsidRPr="00416A92" w:rsidRDefault="0012092B" w:rsidP="0012092B">
      <w:pPr>
        <w:pStyle w:val="BodyTextGrey"/>
        <w:rPr>
          <w:sz w:val="24"/>
          <w:szCs w:val="24"/>
        </w:rPr>
      </w:pPr>
    </w:p>
    <w:p w14:paraId="23E83870" w14:textId="77777777" w:rsidR="0012092B" w:rsidRPr="00416A92" w:rsidRDefault="0012092B" w:rsidP="0012092B">
      <w:pPr>
        <w:pStyle w:val="Appendix2"/>
        <w:rPr>
          <w:sz w:val="24"/>
          <w:szCs w:val="24"/>
        </w:rPr>
      </w:pPr>
      <w:r w:rsidRPr="00416A92">
        <w:rPr>
          <w:sz w:val="24"/>
          <w:szCs w:val="24"/>
        </w:rPr>
        <w:t>C3</w:t>
      </w:r>
      <w:r w:rsidRPr="00416A92">
        <w:rPr>
          <w:sz w:val="24"/>
          <w:szCs w:val="24"/>
        </w:rPr>
        <w:tab/>
        <w:t>Demographic risks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103"/>
      </w:tblGrid>
      <w:tr w:rsidR="0012092B" w:rsidRPr="00014F6A" w14:paraId="441CBE89" w14:textId="77777777" w:rsidTr="00192519">
        <w:trPr>
          <w:trHeight w:val="462"/>
          <w:tblHeader/>
        </w:trPr>
        <w:tc>
          <w:tcPr>
            <w:tcW w:w="4536" w:type="dxa"/>
            <w:vAlign w:val="center"/>
          </w:tcPr>
          <w:p w14:paraId="1EC9EC5E" w14:textId="77777777" w:rsidR="0012092B" w:rsidRPr="00416A92" w:rsidRDefault="0012092B" w:rsidP="00192519">
            <w:pPr>
              <w:pStyle w:val="BodyTextGrey"/>
              <w:spacing w:after="20" w:line="240" w:lineRule="auto"/>
              <w:rPr>
                <w:b/>
                <w:sz w:val="24"/>
                <w:szCs w:val="24"/>
              </w:rPr>
            </w:pPr>
            <w:r w:rsidRPr="00416A92">
              <w:rPr>
                <w:b/>
                <w:sz w:val="24"/>
                <w:szCs w:val="24"/>
              </w:rPr>
              <w:t>Risk</w:t>
            </w:r>
          </w:p>
        </w:tc>
        <w:tc>
          <w:tcPr>
            <w:tcW w:w="5103" w:type="dxa"/>
            <w:vAlign w:val="center"/>
          </w:tcPr>
          <w:p w14:paraId="437D9728" w14:textId="77777777" w:rsidR="0012092B" w:rsidRPr="00416A92" w:rsidRDefault="0012092B" w:rsidP="00192519">
            <w:pPr>
              <w:pStyle w:val="BodyTextGrey"/>
              <w:spacing w:after="20" w:line="240" w:lineRule="auto"/>
              <w:rPr>
                <w:b/>
                <w:sz w:val="24"/>
                <w:szCs w:val="24"/>
              </w:rPr>
            </w:pPr>
            <w:r w:rsidRPr="00416A92">
              <w:rPr>
                <w:b/>
                <w:sz w:val="24"/>
                <w:szCs w:val="24"/>
              </w:rPr>
              <w:t xml:space="preserve">Summary of Control Mechanisms </w:t>
            </w:r>
          </w:p>
        </w:tc>
      </w:tr>
      <w:tr w:rsidR="0012092B" w:rsidRPr="00014F6A" w14:paraId="2CBEB904" w14:textId="77777777" w:rsidTr="0012092B">
        <w:tc>
          <w:tcPr>
            <w:tcW w:w="4536" w:type="dxa"/>
          </w:tcPr>
          <w:p w14:paraId="1DC661EB" w14:textId="77777777" w:rsidR="0012092B" w:rsidRPr="00416A92" w:rsidRDefault="0012092B" w:rsidP="0012092B">
            <w:pPr>
              <w:pStyle w:val="BodyTextGrey"/>
              <w:rPr>
                <w:sz w:val="24"/>
                <w:szCs w:val="24"/>
              </w:rPr>
            </w:pPr>
            <w:r w:rsidRPr="00416A92">
              <w:rPr>
                <w:sz w:val="24"/>
                <w:szCs w:val="24"/>
              </w:rPr>
              <w:t>Pensioners living longer</w:t>
            </w:r>
            <w:r w:rsidR="005E3D00" w:rsidRPr="00416A92">
              <w:rPr>
                <w:sz w:val="24"/>
                <w:szCs w:val="24"/>
              </w:rPr>
              <w:t>, thus increasing cost to Fund</w:t>
            </w:r>
            <w:r w:rsidRPr="00416A92">
              <w:rPr>
                <w:sz w:val="24"/>
                <w:szCs w:val="24"/>
              </w:rPr>
              <w:t>.</w:t>
            </w:r>
          </w:p>
          <w:p w14:paraId="5EA7272C" w14:textId="77777777" w:rsidR="0012092B" w:rsidRPr="00416A92" w:rsidRDefault="0012092B" w:rsidP="0012092B">
            <w:pPr>
              <w:pStyle w:val="BodyTextGrey"/>
              <w:rPr>
                <w:sz w:val="24"/>
                <w:szCs w:val="24"/>
              </w:rPr>
            </w:pPr>
          </w:p>
        </w:tc>
        <w:tc>
          <w:tcPr>
            <w:tcW w:w="5103" w:type="dxa"/>
          </w:tcPr>
          <w:p w14:paraId="4D96A2AB" w14:textId="77777777" w:rsidR="0012092B" w:rsidRPr="00416A92" w:rsidRDefault="0012092B" w:rsidP="0012092B">
            <w:pPr>
              <w:pStyle w:val="BodyTextGrey"/>
              <w:rPr>
                <w:sz w:val="24"/>
                <w:szCs w:val="24"/>
              </w:rPr>
            </w:pPr>
            <w:r w:rsidRPr="00416A92">
              <w:rPr>
                <w:sz w:val="24"/>
                <w:szCs w:val="24"/>
              </w:rPr>
              <w:t>Set mortality assumptions with some allowance for future increases in life expectancy.</w:t>
            </w:r>
          </w:p>
          <w:p w14:paraId="26EB523D" w14:textId="55CF2DEB" w:rsidR="00494043" w:rsidRPr="00416A92" w:rsidRDefault="0012092B" w:rsidP="0020584C">
            <w:pPr>
              <w:pStyle w:val="BodyTextGrey"/>
              <w:rPr>
                <w:sz w:val="24"/>
                <w:szCs w:val="24"/>
              </w:rPr>
            </w:pPr>
            <w:r w:rsidRPr="00416A92">
              <w:rPr>
                <w:sz w:val="24"/>
                <w:szCs w:val="24"/>
              </w:rPr>
              <w:t xml:space="preserve">The Fund Actuary has direct access to the experience of over 50 </w:t>
            </w:r>
            <w:r w:rsidR="005E3D00" w:rsidRPr="00416A92">
              <w:rPr>
                <w:sz w:val="24"/>
                <w:szCs w:val="24"/>
              </w:rPr>
              <w:t xml:space="preserve">LGPS </w:t>
            </w:r>
            <w:r w:rsidRPr="00416A92">
              <w:rPr>
                <w:sz w:val="24"/>
                <w:szCs w:val="24"/>
              </w:rPr>
              <w:t xml:space="preserve">funds which allows early identification of changes in life expectancy that might in turn affect the assumptions underpinning the </w:t>
            </w:r>
            <w:r w:rsidR="005E3D00" w:rsidRPr="00416A92">
              <w:rPr>
                <w:sz w:val="24"/>
                <w:szCs w:val="24"/>
              </w:rPr>
              <w:t>v</w:t>
            </w:r>
            <w:r w:rsidRPr="00416A92">
              <w:rPr>
                <w:sz w:val="24"/>
                <w:szCs w:val="24"/>
              </w:rPr>
              <w:t>aluation.</w:t>
            </w:r>
          </w:p>
        </w:tc>
      </w:tr>
      <w:tr w:rsidR="0012092B" w:rsidRPr="00014F6A" w14:paraId="06887B0D" w14:textId="77777777" w:rsidTr="0012092B">
        <w:tc>
          <w:tcPr>
            <w:tcW w:w="4536" w:type="dxa"/>
          </w:tcPr>
          <w:p w14:paraId="2BCC938A" w14:textId="77777777" w:rsidR="0012092B" w:rsidRPr="00416A92" w:rsidRDefault="0012092B" w:rsidP="0012092B">
            <w:pPr>
              <w:pStyle w:val="BodyTextGrey"/>
              <w:rPr>
                <w:sz w:val="24"/>
                <w:szCs w:val="24"/>
              </w:rPr>
            </w:pPr>
            <w:r w:rsidRPr="00416A92">
              <w:rPr>
                <w:sz w:val="24"/>
                <w:szCs w:val="24"/>
              </w:rPr>
              <w:lastRenderedPageBreak/>
              <w:t>Maturing Fund – i.e. proportion of actively contributing employees declines relative to retired employees.</w:t>
            </w:r>
          </w:p>
        </w:tc>
        <w:tc>
          <w:tcPr>
            <w:tcW w:w="5103" w:type="dxa"/>
          </w:tcPr>
          <w:p w14:paraId="6244DABD" w14:textId="77777777" w:rsidR="0012092B" w:rsidRPr="00416A92" w:rsidRDefault="0012092B" w:rsidP="0012092B">
            <w:pPr>
              <w:pStyle w:val="BodyTextGrey"/>
              <w:rPr>
                <w:sz w:val="24"/>
                <w:szCs w:val="24"/>
              </w:rPr>
            </w:pPr>
            <w:r w:rsidRPr="00416A92">
              <w:rPr>
                <w:sz w:val="24"/>
                <w:szCs w:val="24"/>
              </w:rPr>
              <w:t>Continue to monitor at each valuation, consider seeking monetary amounts rather than % of pay and consider alternative investment strategies.</w:t>
            </w:r>
          </w:p>
        </w:tc>
      </w:tr>
      <w:tr w:rsidR="0012092B" w:rsidRPr="00014F6A" w14:paraId="410F7CC9" w14:textId="77777777" w:rsidTr="0012092B">
        <w:tc>
          <w:tcPr>
            <w:tcW w:w="4536" w:type="dxa"/>
          </w:tcPr>
          <w:p w14:paraId="3CE554E6" w14:textId="77777777" w:rsidR="0012092B" w:rsidRPr="00416A92" w:rsidRDefault="0012092B" w:rsidP="0012092B">
            <w:pPr>
              <w:pStyle w:val="BodyTextGrey"/>
              <w:rPr>
                <w:sz w:val="24"/>
                <w:szCs w:val="24"/>
              </w:rPr>
            </w:pPr>
            <w:r w:rsidRPr="00416A92">
              <w:rPr>
                <w:sz w:val="24"/>
                <w:szCs w:val="24"/>
              </w:rPr>
              <w:t>Deteriorating patterns of early retirements</w:t>
            </w:r>
          </w:p>
        </w:tc>
        <w:tc>
          <w:tcPr>
            <w:tcW w:w="5103" w:type="dxa"/>
          </w:tcPr>
          <w:p w14:paraId="44F6D7B7" w14:textId="77777777" w:rsidR="0012092B" w:rsidRPr="00416A92" w:rsidRDefault="0012092B" w:rsidP="0012092B">
            <w:pPr>
              <w:pStyle w:val="BodyTextGrey"/>
              <w:rPr>
                <w:sz w:val="24"/>
                <w:szCs w:val="24"/>
              </w:rPr>
            </w:pPr>
            <w:r w:rsidRPr="00416A92">
              <w:rPr>
                <w:sz w:val="24"/>
                <w:szCs w:val="24"/>
              </w:rPr>
              <w:t xml:space="preserve">Employers are charged the extra cost of </w:t>
            </w:r>
            <w:proofErr w:type="spellStart"/>
            <w:r w:rsidRPr="00416A92">
              <w:rPr>
                <w:sz w:val="24"/>
                <w:szCs w:val="24"/>
              </w:rPr>
              <w:t>non ill-health</w:t>
            </w:r>
            <w:proofErr w:type="spellEnd"/>
            <w:r w:rsidRPr="00416A92">
              <w:rPr>
                <w:sz w:val="24"/>
                <w:szCs w:val="24"/>
              </w:rPr>
              <w:t xml:space="preserve"> retirements following each individual decision.</w:t>
            </w:r>
          </w:p>
          <w:p w14:paraId="7FB4ECA2" w14:textId="77777777" w:rsidR="0012092B" w:rsidRPr="00416A92" w:rsidRDefault="0012092B" w:rsidP="0012092B">
            <w:pPr>
              <w:pStyle w:val="BodyTextGrey"/>
              <w:rPr>
                <w:sz w:val="24"/>
                <w:szCs w:val="24"/>
              </w:rPr>
            </w:pPr>
            <w:r w:rsidRPr="00416A92">
              <w:rPr>
                <w:sz w:val="24"/>
                <w:szCs w:val="24"/>
              </w:rPr>
              <w:t>Employer ill health retirement experience is monitored</w:t>
            </w:r>
            <w:r w:rsidR="005E3D00" w:rsidRPr="00416A92">
              <w:rPr>
                <w:sz w:val="24"/>
                <w:szCs w:val="24"/>
              </w:rPr>
              <w:t>, and insurance is an option</w:t>
            </w:r>
            <w:r w:rsidRPr="00416A92">
              <w:rPr>
                <w:sz w:val="24"/>
                <w:szCs w:val="24"/>
              </w:rPr>
              <w:t>.</w:t>
            </w:r>
          </w:p>
          <w:p w14:paraId="4CBE715B" w14:textId="70186DE9" w:rsidR="00494043" w:rsidRPr="00416A92" w:rsidRDefault="00494043" w:rsidP="00494043">
            <w:pPr>
              <w:pStyle w:val="BodyTextGrey"/>
              <w:rPr>
                <w:sz w:val="24"/>
                <w:szCs w:val="24"/>
              </w:rPr>
            </w:pPr>
          </w:p>
        </w:tc>
      </w:tr>
      <w:tr w:rsidR="0012092B" w:rsidRPr="00014F6A" w14:paraId="246FCA4F" w14:textId="77777777" w:rsidTr="0012092B">
        <w:tc>
          <w:tcPr>
            <w:tcW w:w="4536" w:type="dxa"/>
          </w:tcPr>
          <w:p w14:paraId="0A3304DD" w14:textId="77777777" w:rsidR="0012092B" w:rsidRPr="00416A92" w:rsidRDefault="0012092B" w:rsidP="0012092B">
            <w:pPr>
              <w:pStyle w:val="BodyTextGrey"/>
              <w:rPr>
                <w:sz w:val="24"/>
                <w:szCs w:val="24"/>
              </w:rPr>
            </w:pPr>
            <w:r w:rsidRPr="00416A92">
              <w:rPr>
                <w:sz w:val="24"/>
                <w:szCs w:val="24"/>
              </w:rPr>
              <w:t>Reductions in payroll causing insufficient deficit recovery payments</w:t>
            </w:r>
          </w:p>
        </w:tc>
        <w:tc>
          <w:tcPr>
            <w:tcW w:w="5103" w:type="dxa"/>
          </w:tcPr>
          <w:p w14:paraId="624E3D98" w14:textId="77777777" w:rsidR="0012092B" w:rsidRPr="00416A92" w:rsidRDefault="0012092B" w:rsidP="0012092B">
            <w:pPr>
              <w:pStyle w:val="BodyTextGrey"/>
              <w:rPr>
                <w:sz w:val="24"/>
                <w:szCs w:val="24"/>
              </w:rPr>
            </w:pPr>
            <w:r w:rsidRPr="00416A92">
              <w:rPr>
                <w:sz w:val="24"/>
                <w:szCs w:val="24"/>
              </w:rPr>
              <w:t>In many cases this may not be sufficient cause for concern, and will in effect be caught at the next formal valuation.  However, there are protections where there is concern, as follows:</w:t>
            </w:r>
          </w:p>
          <w:p w14:paraId="6E9DC99B" w14:textId="77777777" w:rsidR="0012092B" w:rsidRPr="00416A92" w:rsidRDefault="00004240" w:rsidP="0012092B">
            <w:pPr>
              <w:pStyle w:val="BodyTextGrey"/>
              <w:rPr>
                <w:sz w:val="24"/>
                <w:szCs w:val="24"/>
              </w:rPr>
            </w:pPr>
            <w:r w:rsidRPr="00416A92">
              <w:rPr>
                <w:sz w:val="24"/>
                <w:szCs w:val="24"/>
              </w:rPr>
              <w:t>E</w:t>
            </w:r>
            <w:r w:rsidR="0012092B" w:rsidRPr="00416A92">
              <w:rPr>
                <w:sz w:val="24"/>
                <w:szCs w:val="24"/>
              </w:rPr>
              <w:t xml:space="preserve">mployers in the stabilisation </w:t>
            </w:r>
            <w:r w:rsidR="0082357F" w:rsidRPr="00416A92">
              <w:rPr>
                <w:sz w:val="24"/>
                <w:szCs w:val="24"/>
              </w:rPr>
              <w:t>mechanism</w:t>
            </w:r>
            <w:r w:rsidR="0012092B" w:rsidRPr="00416A92">
              <w:rPr>
                <w:sz w:val="24"/>
                <w:szCs w:val="24"/>
              </w:rPr>
              <w:t xml:space="preserve"> may be brought out of that mechanism to permit appropriate contribution increases (</w:t>
            </w:r>
            <w:r w:rsidRPr="00416A92">
              <w:rPr>
                <w:sz w:val="24"/>
                <w:szCs w:val="24"/>
              </w:rPr>
              <w:t xml:space="preserve">see </w:t>
            </w:r>
            <w:hyperlink w:anchor="Noteb" w:history="1">
              <w:r w:rsidRPr="00416A92">
                <w:rPr>
                  <w:rStyle w:val="Hyperlink"/>
                  <w:sz w:val="24"/>
                  <w:szCs w:val="24"/>
                </w:rPr>
                <w:t>Note (b)</w:t>
              </w:r>
            </w:hyperlink>
            <w:r w:rsidRPr="00416A92">
              <w:rPr>
                <w:sz w:val="24"/>
                <w:szCs w:val="24"/>
              </w:rPr>
              <w:t xml:space="preserve"> to </w:t>
            </w:r>
            <w:hyperlink w:anchor="TheDifferentApproachesUsedForDiffEmps3_3" w:history="1">
              <w:r w:rsidRPr="00416A92">
                <w:rPr>
                  <w:rStyle w:val="Hyperlink"/>
                  <w:sz w:val="24"/>
                  <w:szCs w:val="24"/>
                </w:rPr>
                <w:t>3.3</w:t>
              </w:r>
            </w:hyperlink>
            <w:r w:rsidR="0012092B" w:rsidRPr="00416A92">
              <w:rPr>
                <w:sz w:val="24"/>
                <w:szCs w:val="24"/>
              </w:rPr>
              <w:t>).</w:t>
            </w:r>
          </w:p>
          <w:p w14:paraId="364C33E6" w14:textId="77777777" w:rsidR="0012092B" w:rsidRPr="00416A92" w:rsidRDefault="0012092B" w:rsidP="005E3D00">
            <w:pPr>
              <w:pStyle w:val="BodyTextGrey"/>
              <w:rPr>
                <w:sz w:val="24"/>
                <w:szCs w:val="24"/>
              </w:rPr>
            </w:pPr>
            <w:r w:rsidRPr="00416A92">
              <w:rPr>
                <w:sz w:val="24"/>
                <w:szCs w:val="24"/>
              </w:rPr>
              <w:t xml:space="preserve">For other employers, review of contributions is permitted in general between valuations (see </w:t>
            </w:r>
            <w:hyperlink w:anchor="Notef" w:history="1">
              <w:r w:rsidR="00004240" w:rsidRPr="00416A92">
                <w:rPr>
                  <w:rStyle w:val="Hyperlink"/>
                  <w:sz w:val="24"/>
                  <w:szCs w:val="24"/>
                </w:rPr>
                <w:t>Note (f)</w:t>
              </w:r>
            </w:hyperlink>
            <w:r w:rsidR="00004240" w:rsidRPr="00416A92">
              <w:rPr>
                <w:sz w:val="24"/>
                <w:szCs w:val="24"/>
              </w:rPr>
              <w:t xml:space="preserve"> to </w:t>
            </w:r>
            <w:hyperlink w:anchor="TheDifferentApproachesUsedForDiffEmps3_3" w:history="1">
              <w:r w:rsidR="00004240" w:rsidRPr="00416A92">
                <w:rPr>
                  <w:rStyle w:val="Hyperlink"/>
                  <w:sz w:val="24"/>
                  <w:szCs w:val="24"/>
                </w:rPr>
                <w:t>3.3</w:t>
              </w:r>
            </w:hyperlink>
            <w:r w:rsidRPr="00416A92">
              <w:rPr>
                <w:sz w:val="24"/>
                <w:szCs w:val="24"/>
              </w:rPr>
              <w:t>) and may require a move in deficit contributions from a percentage of payroll to fixed monetary amounts.</w:t>
            </w:r>
          </w:p>
        </w:tc>
      </w:tr>
    </w:tbl>
    <w:p w14:paraId="6FB104AD" w14:textId="77777777" w:rsidR="0012092B" w:rsidRPr="00416A92" w:rsidRDefault="0012092B" w:rsidP="0012092B">
      <w:pPr>
        <w:pStyle w:val="BodyTextGrey"/>
        <w:rPr>
          <w:sz w:val="24"/>
          <w:szCs w:val="24"/>
        </w:rPr>
      </w:pPr>
    </w:p>
    <w:p w14:paraId="62E2E615" w14:textId="77777777" w:rsidR="00492F38" w:rsidRDefault="00492F38">
      <w:pPr>
        <w:spacing w:after="20" w:line="240" w:lineRule="auto"/>
        <w:jc w:val="left"/>
        <w:rPr>
          <w:b/>
          <w:color w:val="F06A00" w:themeColor="accent1"/>
          <w:sz w:val="24"/>
          <w:szCs w:val="24"/>
          <w:lang w:eastAsia="en-US"/>
        </w:rPr>
      </w:pPr>
      <w:r>
        <w:rPr>
          <w:sz w:val="24"/>
          <w:szCs w:val="24"/>
        </w:rPr>
        <w:br w:type="page"/>
      </w:r>
    </w:p>
    <w:p w14:paraId="750D41BA" w14:textId="37CD87E3" w:rsidR="00C060D0" w:rsidRPr="00416A92" w:rsidRDefault="00C060D0" w:rsidP="00C060D0">
      <w:pPr>
        <w:pStyle w:val="Appendix2"/>
        <w:rPr>
          <w:sz w:val="24"/>
          <w:szCs w:val="24"/>
        </w:rPr>
      </w:pPr>
      <w:r w:rsidRPr="00416A92">
        <w:rPr>
          <w:sz w:val="24"/>
          <w:szCs w:val="24"/>
        </w:rPr>
        <w:lastRenderedPageBreak/>
        <w:t>C4</w:t>
      </w:r>
      <w:r w:rsidRPr="00416A92">
        <w:rPr>
          <w:sz w:val="24"/>
          <w:szCs w:val="24"/>
        </w:rPr>
        <w:tab/>
        <w:t>Regulatory risks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5125"/>
      </w:tblGrid>
      <w:tr w:rsidR="00C060D0" w:rsidRPr="00014F6A" w14:paraId="38A79DDC" w14:textId="77777777" w:rsidTr="00192519">
        <w:trPr>
          <w:trHeight w:val="428"/>
        </w:trPr>
        <w:tc>
          <w:tcPr>
            <w:tcW w:w="4514" w:type="dxa"/>
            <w:vAlign w:val="center"/>
          </w:tcPr>
          <w:p w14:paraId="189F7788" w14:textId="77777777" w:rsidR="00C060D0" w:rsidRPr="00416A92" w:rsidRDefault="00C060D0" w:rsidP="00192519">
            <w:pPr>
              <w:pStyle w:val="BodyTextGrey"/>
              <w:spacing w:after="20" w:line="240" w:lineRule="auto"/>
              <w:rPr>
                <w:b/>
                <w:sz w:val="24"/>
                <w:szCs w:val="24"/>
              </w:rPr>
            </w:pPr>
            <w:r w:rsidRPr="00416A92">
              <w:rPr>
                <w:b/>
                <w:sz w:val="24"/>
                <w:szCs w:val="24"/>
              </w:rPr>
              <w:t>Risk</w:t>
            </w:r>
          </w:p>
        </w:tc>
        <w:tc>
          <w:tcPr>
            <w:tcW w:w="5125" w:type="dxa"/>
            <w:vAlign w:val="center"/>
          </w:tcPr>
          <w:p w14:paraId="38B952BB" w14:textId="77777777" w:rsidR="00C060D0" w:rsidRPr="00416A92" w:rsidRDefault="00C060D0" w:rsidP="00192519">
            <w:pPr>
              <w:pStyle w:val="BodyTextGrey"/>
              <w:spacing w:after="20" w:line="240" w:lineRule="auto"/>
              <w:rPr>
                <w:b/>
                <w:sz w:val="24"/>
                <w:szCs w:val="24"/>
              </w:rPr>
            </w:pPr>
            <w:r w:rsidRPr="00416A92">
              <w:rPr>
                <w:b/>
                <w:sz w:val="24"/>
                <w:szCs w:val="24"/>
              </w:rPr>
              <w:t xml:space="preserve">Summary of Control Mechanisms </w:t>
            </w:r>
          </w:p>
        </w:tc>
      </w:tr>
      <w:tr w:rsidR="00C060D0" w:rsidRPr="00014F6A" w14:paraId="2451FB30" w14:textId="77777777" w:rsidTr="00C060D0">
        <w:trPr>
          <w:cantSplit/>
        </w:trPr>
        <w:tc>
          <w:tcPr>
            <w:tcW w:w="4514" w:type="dxa"/>
          </w:tcPr>
          <w:p w14:paraId="115FD72B" w14:textId="77777777" w:rsidR="00C060D0" w:rsidRPr="00416A92" w:rsidRDefault="00C060D0" w:rsidP="00C060D0">
            <w:pPr>
              <w:pStyle w:val="BodyTextGrey"/>
              <w:rPr>
                <w:sz w:val="24"/>
                <w:szCs w:val="24"/>
              </w:rPr>
            </w:pPr>
            <w:r w:rsidRPr="00416A92">
              <w:rPr>
                <w:sz w:val="24"/>
                <w:szCs w:val="24"/>
              </w:rPr>
              <w:t>Changes to national pension requirements and/or HMRC rules e.g. changes arising from public sector pensions</w:t>
            </w:r>
            <w:r w:rsidR="005E3D00" w:rsidRPr="00416A92">
              <w:rPr>
                <w:sz w:val="24"/>
                <w:szCs w:val="24"/>
              </w:rPr>
              <w:t xml:space="preserve"> reform</w:t>
            </w:r>
            <w:r w:rsidRPr="00416A92">
              <w:rPr>
                <w:sz w:val="24"/>
                <w:szCs w:val="24"/>
              </w:rPr>
              <w:t>.</w:t>
            </w:r>
          </w:p>
          <w:p w14:paraId="24CE42B9" w14:textId="77777777" w:rsidR="00C060D0" w:rsidRPr="00416A92" w:rsidRDefault="00C060D0" w:rsidP="00C060D0">
            <w:pPr>
              <w:pStyle w:val="BodyTextGrey"/>
              <w:rPr>
                <w:sz w:val="24"/>
                <w:szCs w:val="24"/>
              </w:rPr>
            </w:pPr>
          </w:p>
        </w:tc>
        <w:tc>
          <w:tcPr>
            <w:tcW w:w="5125" w:type="dxa"/>
          </w:tcPr>
          <w:p w14:paraId="17E26C3B" w14:textId="77777777" w:rsidR="00C060D0" w:rsidRPr="00416A92" w:rsidRDefault="00C060D0" w:rsidP="00C060D0">
            <w:pPr>
              <w:pStyle w:val="BodyTextGrey"/>
              <w:rPr>
                <w:sz w:val="24"/>
                <w:szCs w:val="24"/>
              </w:rPr>
            </w:pPr>
            <w:r w:rsidRPr="00416A92">
              <w:rPr>
                <w:sz w:val="24"/>
                <w:szCs w:val="24"/>
              </w:rPr>
              <w:t xml:space="preserve">The Administering Authority considers all consultation papers issued by the Government and comments where appropriate. </w:t>
            </w:r>
          </w:p>
          <w:p w14:paraId="01F0ABD8" w14:textId="2215FFF1" w:rsidR="00494043" w:rsidRDefault="00494043" w:rsidP="00494043">
            <w:pPr>
              <w:rPr>
                <w:color w:val="455560"/>
                <w:sz w:val="24"/>
                <w:szCs w:val="24"/>
              </w:rPr>
            </w:pPr>
            <w:r w:rsidRPr="00416A92">
              <w:rPr>
                <w:color w:val="455560"/>
                <w:sz w:val="24"/>
                <w:szCs w:val="24"/>
              </w:rPr>
              <w:t xml:space="preserve">The Administering Authority is monitoring the progress on the McCloud court case and will consider an interim valuation or other appropriate action once more information is known.  </w:t>
            </w:r>
          </w:p>
          <w:p w14:paraId="41087873" w14:textId="77777777" w:rsidR="00C702EC" w:rsidRPr="00416A92" w:rsidRDefault="00C702EC" w:rsidP="00494043">
            <w:pPr>
              <w:rPr>
                <w:color w:val="455560"/>
                <w:sz w:val="24"/>
                <w:szCs w:val="24"/>
              </w:rPr>
            </w:pPr>
          </w:p>
          <w:p w14:paraId="645ECFAD" w14:textId="4AF20296" w:rsidR="00C060D0" w:rsidRPr="00416A92" w:rsidRDefault="00494043" w:rsidP="00C702EC">
            <w:pPr>
              <w:rPr>
                <w:sz w:val="24"/>
                <w:szCs w:val="24"/>
              </w:rPr>
            </w:pPr>
            <w:r w:rsidRPr="00C702EC">
              <w:rPr>
                <w:color w:val="455560"/>
                <w:sz w:val="24"/>
                <w:szCs w:val="24"/>
              </w:rPr>
              <w:t>The government’s long term preferred solution to GMP indexation and equalisation - conversion of GMPs to scheme benefits - was built into the 2019 valuation.</w:t>
            </w:r>
          </w:p>
        </w:tc>
      </w:tr>
      <w:tr w:rsidR="001B33C5" w:rsidRPr="00014F6A" w14:paraId="64DEE02A" w14:textId="77777777" w:rsidTr="00C060D0">
        <w:trPr>
          <w:cantSplit/>
        </w:trPr>
        <w:tc>
          <w:tcPr>
            <w:tcW w:w="4514" w:type="dxa"/>
          </w:tcPr>
          <w:p w14:paraId="781E2405" w14:textId="32AFD3E5" w:rsidR="001B33C5" w:rsidRPr="00416A92" w:rsidRDefault="007E5AE9" w:rsidP="00C060D0">
            <w:pPr>
              <w:pStyle w:val="BodyTextGrey"/>
              <w:rPr>
                <w:sz w:val="24"/>
                <w:szCs w:val="24"/>
              </w:rPr>
            </w:pPr>
            <w:r w:rsidRPr="00416A92">
              <w:rPr>
                <w:sz w:val="24"/>
                <w:szCs w:val="24"/>
              </w:rPr>
              <w:t xml:space="preserve">Time, cost and/or reputational risks associated with any </w:t>
            </w:r>
            <w:r w:rsidR="003E6CB1" w:rsidRPr="00416A92">
              <w:rPr>
                <w:sz w:val="24"/>
                <w:szCs w:val="24"/>
              </w:rPr>
              <w:t>MHCLG</w:t>
            </w:r>
            <w:r w:rsidRPr="00416A92">
              <w:rPr>
                <w:sz w:val="24"/>
                <w:szCs w:val="24"/>
              </w:rPr>
              <w:t xml:space="preserve"> intervention triggered by the Section 13 analysis (see </w:t>
            </w:r>
            <w:hyperlink w:anchor="Section5" w:history="1">
              <w:r w:rsidRPr="00416A92">
                <w:rPr>
                  <w:rStyle w:val="Hyperlink"/>
                  <w:sz w:val="24"/>
                  <w:szCs w:val="24"/>
                </w:rPr>
                <w:t>Section 5</w:t>
              </w:r>
            </w:hyperlink>
            <w:r w:rsidRPr="00416A92">
              <w:rPr>
                <w:sz w:val="24"/>
                <w:szCs w:val="24"/>
              </w:rPr>
              <w:t>).</w:t>
            </w:r>
          </w:p>
        </w:tc>
        <w:tc>
          <w:tcPr>
            <w:tcW w:w="5125" w:type="dxa"/>
          </w:tcPr>
          <w:p w14:paraId="3758CDE0" w14:textId="5FE4A767" w:rsidR="001B33C5" w:rsidRPr="00416A92" w:rsidRDefault="007E5AE9" w:rsidP="007E5AE9">
            <w:pPr>
              <w:pStyle w:val="BodyTextGrey"/>
              <w:rPr>
                <w:sz w:val="24"/>
                <w:szCs w:val="24"/>
              </w:rPr>
            </w:pPr>
            <w:r w:rsidRPr="00416A92">
              <w:rPr>
                <w:sz w:val="24"/>
                <w:szCs w:val="24"/>
              </w:rPr>
              <w:t xml:space="preserve">Take advice from Fund Actuary on position of Fund as at prior valuation, and consideration of proposed valuation approach relative to anticipated </w:t>
            </w:r>
            <w:r w:rsidR="00356234" w:rsidRPr="00416A92">
              <w:rPr>
                <w:sz w:val="24"/>
                <w:szCs w:val="24"/>
              </w:rPr>
              <w:t xml:space="preserve">Section </w:t>
            </w:r>
            <w:r w:rsidRPr="00416A92">
              <w:rPr>
                <w:sz w:val="24"/>
                <w:szCs w:val="24"/>
              </w:rPr>
              <w:t>13 analysis.</w:t>
            </w:r>
          </w:p>
        </w:tc>
      </w:tr>
      <w:tr w:rsidR="00356234" w:rsidRPr="00014F6A" w14:paraId="4E8C379C" w14:textId="77777777" w:rsidTr="00C060D0">
        <w:trPr>
          <w:cantSplit/>
        </w:trPr>
        <w:tc>
          <w:tcPr>
            <w:tcW w:w="4514" w:type="dxa"/>
          </w:tcPr>
          <w:p w14:paraId="6484BAD4" w14:textId="670E7A1F" w:rsidR="00356234" w:rsidRPr="00416A92" w:rsidRDefault="00356234" w:rsidP="00356234">
            <w:pPr>
              <w:pStyle w:val="BodyTextGrey"/>
              <w:rPr>
                <w:sz w:val="24"/>
                <w:szCs w:val="24"/>
              </w:rPr>
            </w:pPr>
            <w:r w:rsidRPr="00416A92">
              <w:rPr>
                <w:sz w:val="24"/>
                <w:szCs w:val="24"/>
              </w:rPr>
              <w:t>Changes by Government to particular employer participation in LGPS Funds, leading to impacts on funding and/or investment strategies.</w:t>
            </w:r>
          </w:p>
        </w:tc>
        <w:tc>
          <w:tcPr>
            <w:tcW w:w="5125" w:type="dxa"/>
          </w:tcPr>
          <w:p w14:paraId="37AB3DA6" w14:textId="77777777" w:rsidR="00356234" w:rsidRPr="00416A92" w:rsidRDefault="00356234" w:rsidP="00356234">
            <w:pPr>
              <w:pStyle w:val="BodyTextGrey"/>
              <w:rPr>
                <w:sz w:val="24"/>
                <w:szCs w:val="24"/>
              </w:rPr>
            </w:pPr>
            <w:r w:rsidRPr="00416A92">
              <w:rPr>
                <w:sz w:val="24"/>
                <w:szCs w:val="24"/>
              </w:rPr>
              <w:t xml:space="preserve">The Administering Authority considers all consultation papers issued by the Government and comments where appropriate. </w:t>
            </w:r>
          </w:p>
          <w:p w14:paraId="53005365" w14:textId="1374BC57" w:rsidR="00356234" w:rsidRPr="00416A92" w:rsidRDefault="00356234" w:rsidP="00356234">
            <w:pPr>
              <w:pStyle w:val="BodyTextGrey"/>
              <w:rPr>
                <w:sz w:val="24"/>
                <w:szCs w:val="24"/>
              </w:rPr>
            </w:pPr>
            <w:r w:rsidRPr="00416A92">
              <w:rPr>
                <w:sz w:val="24"/>
                <w:szCs w:val="24"/>
              </w:rPr>
              <w:t>Take advice from Fund Actuary on impact of changes on the Fund and amend strategy as appropriate.</w:t>
            </w:r>
          </w:p>
        </w:tc>
      </w:tr>
    </w:tbl>
    <w:p w14:paraId="554AAAA3" w14:textId="77777777" w:rsidR="00C060D0" w:rsidRPr="00416A92" w:rsidRDefault="00C060D0" w:rsidP="00C060D0">
      <w:pPr>
        <w:pStyle w:val="BodyTextGrey"/>
        <w:rPr>
          <w:sz w:val="24"/>
          <w:szCs w:val="24"/>
        </w:rPr>
      </w:pPr>
    </w:p>
    <w:p w14:paraId="2C8100F7" w14:textId="77777777" w:rsidR="00C060D0" w:rsidRPr="00416A92" w:rsidRDefault="00C060D0" w:rsidP="00C060D0">
      <w:pPr>
        <w:pStyle w:val="Appendix2"/>
        <w:rPr>
          <w:sz w:val="24"/>
          <w:szCs w:val="24"/>
        </w:rPr>
      </w:pPr>
      <w:r w:rsidRPr="00416A92">
        <w:rPr>
          <w:sz w:val="24"/>
          <w:szCs w:val="24"/>
        </w:rPr>
        <w:t>C5</w:t>
      </w:r>
      <w:r w:rsidRPr="00416A92">
        <w:rPr>
          <w:sz w:val="24"/>
          <w:szCs w:val="24"/>
        </w:rPr>
        <w:tab/>
        <w:t>Governance risks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5131"/>
      </w:tblGrid>
      <w:tr w:rsidR="006322FE" w:rsidRPr="00014F6A" w14:paraId="3E1D830D" w14:textId="77777777" w:rsidTr="00192519">
        <w:trPr>
          <w:trHeight w:val="431"/>
          <w:tblHeader/>
        </w:trPr>
        <w:tc>
          <w:tcPr>
            <w:tcW w:w="4508" w:type="dxa"/>
            <w:vAlign w:val="center"/>
          </w:tcPr>
          <w:p w14:paraId="6C0EBDB9" w14:textId="77777777" w:rsidR="006322FE" w:rsidRPr="00416A92" w:rsidRDefault="006322FE" w:rsidP="00192519">
            <w:pPr>
              <w:pStyle w:val="BodyTextGrey"/>
              <w:spacing w:after="20" w:line="240" w:lineRule="auto"/>
              <w:rPr>
                <w:b/>
                <w:sz w:val="24"/>
                <w:szCs w:val="24"/>
              </w:rPr>
            </w:pPr>
            <w:r w:rsidRPr="00416A92">
              <w:rPr>
                <w:b/>
                <w:sz w:val="24"/>
                <w:szCs w:val="24"/>
              </w:rPr>
              <w:t>Risk</w:t>
            </w:r>
          </w:p>
        </w:tc>
        <w:tc>
          <w:tcPr>
            <w:tcW w:w="5131" w:type="dxa"/>
            <w:vAlign w:val="center"/>
          </w:tcPr>
          <w:p w14:paraId="0C9152AE" w14:textId="77777777" w:rsidR="006322FE" w:rsidRPr="00416A92" w:rsidRDefault="006322FE" w:rsidP="00192519">
            <w:pPr>
              <w:pStyle w:val="BodyTextGrey"/>
              <w:spacing w:after="20" w:line="240" w:lineRule="auto"/>
              <w:rPr>
                <w:b/>
                <w:sz w:val="24"/>
                <w:szCs w:val="24"/>
              </w:rPr>
            </w:pPr>
            <w:r w:rsidRPr="00416A92">
              <w:rPr>
                <w:b/>
                <w:sz w:val="24"/>
                <w:szCs w:val="24"/>
              </w:rPr>
              <w:t xml:space="preserve">Summary of Control Mechanisms </w:t>
            </w:r>
          </w:p>
        </w:tc>
      </w:tr>
      <w:tr w:rsidR="006322FE" w:rsidRPr="00014F6A" w14:paraId="23EE56B7" w14:textId="77777777" w:rsidTr="005E3D00">
        <w:trPr>
          <w:cantSplit/>
        </w:trPr>
        <w:tc>
          <w:tcPr>
            <w:tcW w:w="4508" w:type="dxa"/>
          </w:tcPr>
          <w:p w14:paraId="0D395926" w14:textId="77777777" w:rsidR="006322FE" w:rsidRPr="00416A92" w:rsidRDefault="006322FE" w:rsidP="006322FE">
            <w:pPr>
              <w:pStyle w:val="BodyTextGrey"/>
              <w:rPr>
                <w:sz w:val="24"/>
                <w:szCs w:val="24"/>
              </w:rPr>
            </w:pPr>
            <w:r w:rsidRPr="00416A92">
              <w:rPr>
                <w:sz w:val="24"/>
                <w:szCs w:val="24"/>
              </w:rPr>
              <w:t>Administering Authority unaware of structural changes in an employer’s membership (e.g. large fall in employee members, large number of retirements) or not advised of an employer closing to new entrants.</w:t>
            </w:r>
          </w:p>
        </w:tc>
        <w:tc>
          <w:tcPr>
            <w:tcW w:w="5131" w:type="dxa"/>
          </w:tcPr>
          <w:p w14:paraId="6C1DCEF5" w14:textId="77777777" w:rsidR="006322FE" w:rsidRPr="00416A92" w:rsidRDefault="006322FE" w:rsidP="006322FE">
            <w:pPr>
              <w:pStyle w:val="BodyTextGrey"/>
              <w:rPr>
                <w:sz w:val="24"/>
                <w:szCs w:val="24"/>
              </w:rPr>
            </w:pPr>
            <w:r w:rsidRPr="00416A92">
              <w:rPr>
                <w:sz w:val="24"/>
                <w:szCs w:val="24"/>
              </w:rPr>
              <w:t xml:space="preserve">The Administering Authority has a close relationship with employing bodies and communicates required standards </w:t>
            </w:r>
            <w:r w:rsidR="003A11C3" w:rsidRPr="00416A92">
              <w:rPr>
                <w:sz w:val="24"/>
                <w:szCs w:val="24"/>
              </w:rPr>
              <w:t>e.g.</w:t>
            </w:r>
            <w:r w:rsidRPr="00416A92">
              <w:rPr>
                <w:sz w:val="24"/>
                <w:szCs w:val="24"/>
              </w:rPr>
              <w:t xml:space="preserve"> for submission of data. </w:t>
            </w:r>
          </w:p>
          <w:p w14:paraId="4E998A22" w14:textId="1C56A45A" w:rsidR="006322FE" w:rsidRPr="00416A92" w:rsidRDefault="006322FE" w:rsidP="006322FE">
            <w:pPr>
              <w:pStyle w:val="BodyTextGrey"/>
              <w:rPr>
                <w:sz w:val="24"/>
                <w:szCs w:val="24"/>
              </w:rPr>
            </w:pPr>
            <w:r w:rsidRPr="00416A92">
              <w:rPr>
                <w:sz w:val="24"/>
                <w:szCs w:val="24"/>
              </w:rPr>
              <w:t>The Actuary may revise the rates and Adjustments certificate to increase an employer’s contributions between triennial valuations</w:t>
            </w:r>
          </w:p>
          <w:p w14:paraId="73552160" w14:textId="77777777" w:rsidR="006322FE" w:rsidRPr="00416A92" w:rsidRDefault="006322FE" w:rsidP="006322FE">
            <w:pPr>
              <w:pStyle w:val="BodyTextGrey"/>
              <w:rPr>
                <w:sz w:val="24"/>
                <w:szCs w:val="24"/>
              </w:rPr>
            </w:pPr>
            <w:r w:rsidRPr="00416A92">
              <w:rPr>
                <w:sz w:val="24"/>
                <w:szCs w:val="24"/>
              </w:rPr>
              <w:t>Deficit contributions may be expressed as monetary amounts.</w:t>
            </w:r>
          </w:p>
        </w:tc>
      </w:tr>
      <w:tr w:rsidR="005E3D00" w:rsidRPr="00014F6A" w14:paraId="44849AF4" w14:textId="77777777" w:rsidTr="005E3D00">
        <w:tc>
          <w:tcPr>
            <w:tcW w:w="4508" w:type="dxa"/>
          </w:tcPr>
          <w:p w14:paraId="09816142" w14:textId="77777777" w:rsidR="005E3D00" w:rsidRPr="00416A92" w:rsidRDefault="005E3D00" w:rsidP="006322FE">
            <w:pPr>
              <w:pStyle w:val="BodyTextGrey"/>
              <w:rPr>
                <w:sz w:val="24"/>
                <w:szCs w:val="24"/>
              </w:rPr>
            </w:pPr>
            <w:r w:rsidRPr="00416A92">
              <w:rPr>
                <w:sz w:val="24"/>
                <w:szCs w:val="24"/>
              </w:rPr>
              <w:lastRenderedPageBreak/>
              <w:t>Actuarial or investment advice is not sought, or is not heeded, or proves to be insufficient in some way</w:t>
            </w:r>
          </w:p>
        </w:tc>
        <w:tc>
          <w:tcPr>
            <w:tcW w:w="5131" w:type="dxa"/>
          </w:tcPr>
          <w:p w14:paraId="437CCBFC" w14:textId="77777777" w:rsidR="005E3D00" w:rsidRPr="00416A92" w:rsidRDefault="005E3D00" w:rsidP="006322FE">
            <w:pPr>
              <w:pStyle w:val="BodyTextGrey"/>
              <w:rPr>
                <w:sz w:val="24"/>
                <w:szCs w:val="24"/>
              </w:rPr>
            </w:pPr>
            <w:r w:rsidRPr="00416A92">
              <w:rPr>
                <w:sz w:val="24"/>
                <w:szCs w:val="24"/>
              </w:rPr>
              <w:t>The Administering Authority maintains close contact with its specialist advisers.</w:t>
            </w:r>
          </w:p>
          <w:p w14:paraId="25AA666E" w14:textId="77777777" w:rsidR="005E3D00" w:rsidRPr="00416A92" w:rsidRDefault="003C67B1" w:rsidP="006322FE">
            <w:pPr>
              <w:pStyle w:val="BodyTextGrey"/>
              <w:rPr>
                <w:sz w:val="24"/>
                <w:szCs w:val="24"/>
              </w:rPr>
            </w:pPr>
            <w:r w:rsidRPr="00416A92">
              <w:rPr>
                <w:sz w:val="24"/>
                <w:szCs w:val="24"/>
              </w:rPr>
              <w:t>Advice</w:t>
            </w:r>
            <w:r w:rsidR="005E3D00" w:rsidRPr="00416A92">
              <w:rPr>
                <w:sz w:val="24"/>
                <w:szCs w:val="24"/>
              </w:rPr>
              <w:t xml:space="preserve"> is delivered via formal meetings involving Elected Members, and recorded appropriately.</w:t>
            </w:r>
          </w:p>
          <w:p w14:paraId="1528424F" w14:textId="77777777" w:rsidR="005E3D00" w:rsidRPr="00416A92" w:rsidRDefault="005E3D00" w:rsidP="006322FE">
            <w:pPr>
              <w:pStyle w:val="BodyTextGrey"/>
              <w:rPr>
                <w:sz w:val="24"/>
                <w:szCs w:val="24"/>
              </w:rPr>
            </w:pPr>
            <w:r w:rsidRPr="00416A92">
              <w:rPr>
                <w:sz w:val="24"/>
                <w:szCs w:val="24"/>
              </w:rPr>
              <w:t>Actuarial advice is subject to professional requirements such as peer review.</w:t>
            </w:r>
          </w:p>
        </w:tc>
      </w:tr>
      <w:tr w:rsidR="006322FE" w:rsidRPr="00014F6A" w14:paraId="14D2129D" w14:textId="77777777" w:rsidTr="005E3D00">
        <w:tc>
          <w:tcPr>
            <w:tcW w:w="4508" w:type="dxa"/>
          </w:tcPr>
          <w:p w14:paraId="2E395CB5" w14:textId="77777777" w:rsidR="006322FE" w:rsidRPr="00416A92" w:rsidRDefault="006322FE" w:rsidP="006322FE">
            <w:pPr>
              <w:pStyle w:val="BodyTextGrey"/>
              <w:rPr>
                <w:sz w:val="24"/>
                <w:szCs w:val="24"/>
              </w:rPr>
            </w:pPr>
            <w:r w:rsidRPr="00416A92">
              <w:rPr>
                <w:sz w:val="24"/>
                <w:szCs w:val="24"/>
              </w:rPr>
              <w:t>Administering Authority failing to commission the Fund Actuary to carry out a termination valuation for a departing Admission Body.</w:t>
            </w:r>
          </w:p>
        </w:tc>
        <w:tc>
          <w:tcPr>
            <w:tcW w:w="5131" w:type="dxa"/>
          </w:tcPr>
          <w:p w14:paraId="69A64BF7" w14:textId="77777777" w:rsidR="006322FE" w:rsidRPr="00416A92" w:rsidRDefault="006322FE" w:rsidP="006322FE">
            <w:pPr>
              <w:pStyle w:val="BodyTextGrey"/>
              <w:rPr>
                <w:sz w:val="24"/>
                <w:szCs w:val="24"/>
              </w:rPr>
            </w:pPr>
            <w:r w:rsidRPr="00416A92">
              <w:rPr>
                <w:sz w:val="24"/>
                <w:szCs w:val="24"/>
              </w:rPr>
              <w:t>The Administering Authority requires employers with Best Value contractors to inform it of forthcoming changes.</w:t>
            </w:r>
          </w:p>
          <w:p w14:paraId="2BBD361F" w14:textId="77777777" w:rsidR="005E3D00" w:rsidRPr="00416A92" w:rsidRDefault="005E3D00" w:rsidP="00FA3755">
            <w:pPr>
              <w:pStyle w:val="BodyTextGrey"/>
              <w:rPr>
                <w:sz w:val="24"/>
                <w:szCs w:val="24"/>
              </w:rPr>
            </w:pPr>
            <w:r w:rsidRPr="00416A92">
              <w:rPr>
                <w:sz w:val="24"/>
                <w:szCs w:val="24"/>
              </w:rPr>
              <w:t>Community Admission Bodies’ memberships are monitored and, if active membership decreases</w:t>
            </w:r>
            <w:r w:rsidR="00F164E9" w:rsidRPr="00416A92">
              <w:rPr>
                <w:sz w:val="24"/>
                <w:szCs w:val="24"/>
              </w:rPr>
              <w:t>,</w:t>
            </w:r>
            <w:r w:rsidRPr="00416A92">
              <w:rPr>
                <w:sz w:val="24"/>
                <w:szCs w:val="24"/>
              </w:rPr>
              <w:t xml:space="preserve"> steps will be taken.</w:t>
            </w:r>
          </w:p>
        </w:tc>
      </w:tr>
      <w:tr w:rsidR="006322FE" w:rsidRPr="00014F6A" w14:paraId="1FFDA459" w14:textId="77777777" w:rsidTr="005E3D00">
        <w:tc>
          <w:tcPr>
            <w:tcW w:w="4508" w:type="dxa"/>
          </w:tcPr>
          <w:p w14:paraId="5A20D239" w14:textId="77777777" w:rsidR="006322FE" w:rsidRPr="00416A92" w:rsidRDefault="006322FE" w:rsidP="006322FE">
            <w:pPr>
              <w:pStyle w:val="BodyTextGrey"/>
              <w:rPr>
                <w:sz w:val="24"/>
                <w:szCs w:val="24"/>
              </w:rPr>
            </w:pPr>
            <w:r w:rsidRPr="00416A92">
              <w:rPr>
                <w:sz w:val="24"/>
                <w:szCs w:val="24"/>
              </w:rPr>
              <w:t>An employer ceasing to exist with insufficient funding or adequacy of a bond.</w:t>
            </w:r>
          </w:p>
          <w:p w14:paraId="382DAF99" w14:textId="77777777" w:rsidR="006322FE" w:rsidRPr="00416A92" w:rsidRDefault="006322FE" w:rsidP="006322FE">
            <w:pPr>
              <w:pStyle w:val="BodyTextGrey"/>
              <w:rPr>
                <w:sz w:val="24"/>
                <w:szCs w:val="24"/>
              </w:rPr>
            </w:pPr>
          </w:p>
        </w:tc>
        <w:tc>
          <w:tcPr>
            <w:tcW w:w="5131" w:type="dxa"/>
          </w:tcPr>
          <w:p w14:paraId="4BB640B8" w14:textId="77777777" w:rsidR="006322FE" w:rsidRPr="00416A92" w:rsidRDefault="006322FE" w:rsidP="006322FE">
            <w:pPr>
              <w:pStyle w:val="BodyTextGrey"/>
              <w:rPr>
                <w:sz w:val="24"/>
                <w:szCs w:val="24"/>
              </w:rPr>
            </w:pPr>
            <w:r w:rsidRPr="00416A92">
              <w:rPr>
                <w:sz w:val="24"/>
                <w:szCs w:val="24"/>
              </w:rPr>
              <w:t>The Administering Authority believes that it would normally be too late to address the position if it was left to the time of departure.</w:t>
            </w:r>
          </w:p>
          <w:p w14:paraId="29DDBF44" w14:textId="77777777" w:rsidR="006322FE" w:rsidRPr="00416A92" w:rsidRDefault="006322FE" w:rsidP="006322FE">
            <w:pPr>
              <w:pStyle w:val="BodyTextGrey"/>
              <w:rPr>
                <w:sz w:val="24"/>
                <w:szCs w:val="24"/>
              </w:rPr>
            </w:pPr>
            <w:r w:rsidRPr="00416A92">
              <w:rPr>
                <w:sz w:val="24"/>
                <w:szCs w:val="24"/>
              </w:rPr>
              <w:t>The risk is mitigated by:</w:t>
            </w:r>
          </w:p>
          <w:p w14:paraId="3AFF672D" w14:textId="77777777" w:rsidR="006322FE" w:rsidRPr="00416A92" w:rsidRDefault="006322FE" w:rsidP="006322FE">
            <w:pPr>
              <w:pStyle w:val="BodyTextGrey"/>
              <w:rPr>
                <w:sz w:val="24"/>
                <w:szCs w:val="24"/>
              </w:rPr>
            </w:pPr>
            <w:r w:rsidRPr="00416A92">
              <w:rPr>
                <w:sz w:val="24"/>
                <w:szCs w:val="24"/>
              </w:rPr>
              <w:t xml:space="preserve">Seeking a funding guarantee from another scheme employer, or external body, where-ever possible (see </w:t>
            </w:r>
            <w:hyperlink w:anchor="Noteh" w:history="1">
              <w:r w:rsidR="00D609C8" w:rsidRPr="00416A92">
                <w:rPr>
                  <w:rStyle w:val="Hyperlink"/>
                  <w:sz w:val="24"/>
                  <w:szCs w:val="24"/>
                </w:rPr>
                <w:t>Notes (h)</w:t>
              </w:r>
            </w:hyperlink>
            <w:r w:rsidR="00D609C8" w:rsidRPr="00416A92">
              <w:rPr>
                <w:sz w:val="24"/>
                <w:szCs w:val="24"/>
              </w:rPr>
              <w:t xml:space="preserve"> and </w:t>
            </w:r>
            <w:hyperlink w:anchor="Notej" w:history="1">
              <w:r w:rsidR="00D609C8" w:rsidRPr="00416A92">
                <w:rPr>
                  <w:rStyle w:val="Hyperlink"/>
                  <w:sz w:val="24"/>
                  <w:szCs w:val="24"/>
                </w:rPr>
                <w:t>(j)</w:t>
              </w:r>
            </w:hyperlink>
            <w:r w:rsidR="00D609C8" w:rsidRPr="00416A92">
              <w:rPr>
                <w:sz w:val="24"/>
                <w:szCs w:val="24"/>
              </w:rPr>
              <w:t xml:space="preserve"> to </w:t>
            </w:r>
            <w:hyperlink w:anchor="TheDifferentApproachesUsedForDiffEmps3_3" w:history="1">
              <w:r w:rsidR="00D609C8" w:rsidRPr="00416A92">
                <w:rPr>
                  <w:rStyle w:val="Hyperlink"/>
                  <w:sz w:val="24"/>
                  <w:szCs w:val="24"/>
                </w:rPr>
                <w:t>3.3</w:t>
              </w:r>
            </w:hyperlink>
            <w:r w:rsidRPr="00416A92">
              <w:rPr>
                <w:sz w:val="24"/>
                <w:szCs w:val="24"/>
              </w:rPr>
              <w:t>).</w:t>
            </w:r>
          </w:p>
          <w:p w14:paraId="7325EA28" w14:textId="77777777" w:rsidR="006322FE" w:rsidRPr="00416A92" w:rsidRDefault="006322FE" w:rsidP="006322FE">
            <w:pPr>
              <w:pStyle w:val="BodyTextGrey"/>
              <w:rPr>
                <w:sz w:val="24"/>
                <w:szCs w:val="24"/>
              </w:rPr>
            </w:pPr>
            <w:r w:rsidRPr="00416A92">
              <w:rPr>
                <w:sz w:val="24"/>
                <w:szCs w:val="24"/>
              </w:rPr>
              <w:t xml:space="preserve">Alerting the prospective employer to its obligations and encouraging it to take independent actuarial advice. </w:t>
            </w:r>
          </w:p>
          <w:p w14:paraId="1095054F" w14:textId="77777777" w:rsidR="006322FE" w:rsidRPr="00416A92" w:rsidRDefault="006322FE" w:rsidP="006322FE">
            <w:pPr>
              <w:pStyle w:val="BodyTextGrey"/>
              <w:rPr>
                <w:sz w:val="24"/>
                <w:szCs w:val="24"/>
              </w:rPr>
            </w:pPr>
            <w:r w:rsidRPr="00416A92">
              <w:rPr>
                <w:sz w:val="24"/>
                <w:szCs w:val="24"/>
              </w:rPr>
              <w:t>Vetting prospective employers before admission.</w:t>
            </w:r>
          </w:p>
          <w:p w14:paraId="3FF95615" w14:textId="77777777" w:rsidR="006322FE" w:rsidRPr="00416A92" w:rsidRDefault="006322FE" w:rsidP="006322FE">
            <w:pPr>
              <w:pStyle w:val="BodyTextGrey"/>
              <w:rPr>
                <w:sz w:val="24"/>
                <w:szCs w:val="24"/>
              </w:rPr>
            </w:pPr>
            <w:r w:rsidRPr="00416A92">
              <w:rPr>
                <w:sz w:val="24"/>
                <w:szCs w:val="24"/>
              </w:rPr>
              <w:t xml:space="preserve">Where permitted under the regulations requiring a bond to protect the </w:t>
            </w:r>
            <w:r w:rsidR="005E3D00" w:rsidRPr="00416A92">
              <w:rPr>
                <w:sz w:val="24"/>
                <w:szCs w:val="24"/>
              </w:rPr>
              <w:t>Fund</w:t>
            </w:r>
            <w:r w:rsidRPr="00416A92">
              <w:rPr>
                <w:sz w:val="24"/>
                <w:szCs w:val="24"/>
              </w:rPr>
              <w:t xml:space="preserve"> from various risks.</w:t>
            </w:r>
          </w:p>
          <w:p w14:paraId="5B6827D0" w14:textId="77777777" w:rsidR="006322FE" w:rsidRPr="00416A92" w:rsidRDefault="006322FE" w:rsidP="006322FE">
            <w:pPr>
              <w:pStyle w:val="BodyTextGrey"/>
              <w:rPr>
                <w:sz w:val="24"/>
                <w:szCs w:val="24"/>
              </w:rPr>
            </w:pPr>
            <w:r w:rsidRPr="00416A92">
              <w:rPr>
                <w:sz w:val="24"/>
                <w:szCs w:val="24"/>
              </w:rPr>
              <w:t>Requiring new Community Admission Bodies to have a guarantor.</w:t>
            </w:r>
          </w:p>
          <w:p w14:paraId="45CC3BA4" w14:textId="77777777" w:rsidR="006322FE" w:rsidRPr="00416A92" w:rsidRDefault="006322FE" w:rsidP="006322FE">
            <w:pPr>
              <w:pStyle w:val="BodyTextGrey"/>
              <w:rPr>
                <w:sz w:val="24"/>
                <w:szCs w:val="24"/>
              </w:rPr>
            </w:pPr>
            <w:r w:rsidRPr="00416A92">
              <w:rPr>
                <w:sz w:val="24"/>
                <w:szCs w:val="24"/>
              </w:rPr>
              <w:t xml:space="preserve">Reviewing bond or guarantor arrangements at regular intervals (see </w:t>
            </w:r>
            <w:hyperlink w:anchor="Notef" w:history="1">
              <w:r w:rsidR="00A1324A" w:rsidRPr="00416A92">
                <w:rPr>
                  <w:rStyle w:val="Hyperlink"/>
                  <w:sz w:val="24"/>
                  <w:szCs w:val="24"/>
                </w:rPr>
                <w:t>Note (f)</w:t>
              </w:r>
            </w:hyperlink>
            <w:r w:rsidR="00A1324A" w:rsidRPr="00416A92">
              <w:rPr>
                <w:sz w:val="24"/>
                <w:szCs w:val="24"/>
              </w:rPr>
              <w:t xml:space="preserve"> to </w:t>
            </w:r>
            <w:hyperlink w:anchor="TheDifferentApproachesUsedForDiffEmps3_3" w:history="1">
              <w:r w:rsidR="00A1324A" w:rsidRPr="00416A92">
                <w:rPr>
                  <w:rStyle w:val="Hyperlink"/>
                  <w:sz w:val="24"/>
                  <w:szCs w:val="24"/>
                </w:rPr>
                <w:t>3.3</w:t>
              </w:r>
            </w:hyperlink>
            <w:r w:rsidRPr="00416A92">
              <w:rPr>
                <w:sz w:val="24"/>
                <w:szCs w:val="24"/>
              </w:rPr>
              <w:t>).</w:t>
            </w:r>
          </w:p>
          <w:p w14:paraId="4718DDB1" w14:textId="77777777" w:rsidR="006322FE" w:rsidRPr="00416A92" w:rsidRDefault="006322FE" w:rsidP="005E3D00">
            <w:pPr>
              <w:pStyle w:val="BodyTextGrey"/>
              <w:rPr>
                <w:sz w:val="24"/>
                <w:szCs w:val="24"/>
              </w:rPr>
            </w:pPr>
            <w:r w:rsidRPr="00416A92">
              <w:rPr>
                <w:sz w:val="24"/>
                <w:szCs w:val="24"/>
              </w:rPr>
              <w:t>Reviewing contributions</w:t>
            </w:r>
            <w:r w:rsidR="005E3D00" w:rsidRPr="00416A92">
              <w:rPr>
                <w:sz w:val="24"/>
                <w:szCs w:val="24"/>
              </w:rPr>
              <w:t xml:space="preserve"> well ahead of cessation</w:t>
            </w:r>
            <w:r w:rsidRPr="00416A92">
              <w:rPr>
                <w:sz w:val="24"/>
                <w:szCs w:val="24"/>
              </w:rPr>
              <w:t xml:space="preserve"> if thought appropriate (see </w:t>
            </w:r>
            <w:hyperlink w:anchor="Notea" w:history="1">
              <w:r w:rsidR="00A1324A" w:rsidRPr="00416A92">
                <w:rPr>
                  <w:rStyle w:val="Hyperlink"/>
                  <w:sz w:val="24"/>
                  <w:szCs w:val="24"/>
                </w:rPr>
                <w:t>Note (a)</w:t>
              </w:r>
            </w:hyperlink>
            <w:r w:rsidR="00A1324A" w:rsidRPr="00416A92">
              <w:rPr>
                <w:sz w:val="24"/>
                <w:szCs w:val="24"/>
              </w:rPr>
              <w:t xml:space="preserve"> to </w:t>
            </w:r>
            <w:hyperlink w:anchor="TheDifferentApproachesUsedForDiffEmps3_3" w:history="1">
              <w:r w:rsidR="00A1324A" w:rsidRPr="00416A92">
                <w:rPr>
                  <w:rStyle w:val="Hyperlink"/>
                  <w:sz w:val="24"/>
                  <w:szCs w:val="24"/>
                </w:rPr>
                <w:t>3.3</w:t>
              </w:r>
            </w:hyperlink>
            <w:r w:rsidRPr="00416A92">
              <w:rPr>
                <w:sz w:val="24"/>
                <w:szCs w:val="24"/>
              </w:rPr>
              <w:t>).</w:t>
            </w:r>
          </w:p>
        </w:tc>
      </w:tr>
      <w:tr w:rsidR="009C453C" w:rsidRPr="00014F6A" w14:paraId="7D28DBAC" w14:textId="77777777" w:rsidTr="0017378E">
        <w:tc>
          <w:tcPr>
            <w:tcW w:w="4508" w:type="dxa"/>
          </w:tcPr>
          <w:p w14:paraId="3E278269" w14:textId="77777777" w:rsidR="009C453C" w:rsidRPr="00416A92" w:rsidRDefault="009C453C" w:rsidP="0017378E">
            <w:pPr>
              <w:pStyle w:val="BodyTextGrey"/>
              <w:rPr>
                <w:sz w:val="24"/>
                <w:szCs w:val="24"/>
              </w:rPr>
            </w:pPr>
            <w:r w:rsidRPr="00416A92">
              <w:rPr>
                <w:sz w:val="24"/>
                <w:szCs w:val="24"/>
              </w:rPr>
              <w:lastRenderedPageBreak/>
              <w:t>An employer ceasing to exist resulting in an exit credit being payable</w:t>
            </w:r>
          </w:p>
          <w:p w14:paraId="0CC2B8AF" w14:textId="77777777" w:rsidR="009C453C" w:rsidRPr="00416A92" w:rsidRDefault="009C453C" w:rsidP="0017378E">
            <w:pPr>
              <w:pStyle w:val="BodyTextGrey"/>
              <w:rPr>
                <w:sz w:val="24"/>
                <w:szCs w:val="24"/>
              </w:rPr>
            </w:pPr>
          </w:p>
        </w:tc>
        <w:tc>
          <w:tcPr>
            <w:tcW w:w="5131" w:type="dxa"/>
          </w:tcPr>
          <w:p w14:paraId="2533D071" w14:textId="77777777" w:rsidR="009C453C" w:rsidRPr="00416A92" w:rsidRDefault="009C453C" w:rsidP="0017378E">
            <w:pPr>
              <w:pStyle w:val="BodyTextGrey"/>
              <w:rPr>
                <w:sz w:val="24"/>
                <w:szCs w:val="24"/>
              </w:rPr>
            </w:pPr>
            <w:r w:rsidRPr="00416A92">
              <w:rPr>
                <w:sz w:val="24"/>
                <w:szCs w:val="24"/>
              </w:rPr>
              <w:t>The Administering Authority regularly monitors admission bodies coming up to cessation</w:t>
            </w:r>
          </w:p>
          <w:p w14:paraId="4FD041BC" w14:textId="77777777" w:rsidR="009C453C" w:rsidRPr="00416A92" w:rsidRDefault="009C453C" w:rsidP="0017378E">
            <w:pPr>
              <w:pStyle w:val="BodyTextGrey"/>
              <w:rPr>
                <w:sz w:val="24"/>
                <w:szCs w:val="24"/>
              </w:rPr>
            </w:pPr>
            <w:r w:rsidRPr="00416A92">
              <w:rPr>
                <w:sz w:val="24"/>
                <w:szCs w:val="24"/>
              </w:rPr>
              <w:t>The Administering Authority invests in liquid assets to ensure that exit credits can be paid when required.</w:t>
            </w:r>
          </w:p>
          <w:p w14:paraId="0376BC77" w14:textId="77777777" w:rsidR="009C453C" w:rsidRPr="00416A92" w:rsidRDefault="009C453C" w:rsidP="0017378E">
            <w:pPr>
              <w:pStyle w:val="BodyTextGrey"/>
              <w:rPr>
                <w:sz w:val="24"/>
                <w:szCs w:val="24"/>
              </w:rPr>
            </w:pPr>
          </w:p>
        </w:tc>
      </w:tr>
    </w:tbl>
    <w:p w14:paraId="6096A406" w14:textId="77777777" w:rsidR="00C060D0" w:rsidRPr="00416A92" w:rsidRDefault="00C060D0" w:rsidP="00C060D0">
      <w:pPr>
        <w:pStyle w:val="BodyTextGrey"/>
        <w:rPr>
          <w:sz w:val="24"/>
          <w:szCs w:val="24"/>
        </w:rPr>
      </w:pPr>
    </w:p>
    <w:p w14:paraId="0E1F7524" w14:textId="77777777" w:rsidR="006322FE" w:rsidRDefault="006322FE">
      <w:pPr>
        <w:spacing w:after="20" w:line="240" w:lineRule="auto"/>
        <w:jc w:val="left"/>
        <w:rPr>
          <w:color w:val="4B4B4B"/>
          <w:lang w:eastAsia="en-US"/>
        </w:rPr>
      </w:pPr>
      <w:r>
        <w:br w:type="page"/>
      </w:r>
    </w:p>
    <w:p w14:paraId="67DD9C53" w14:textId="77777777" w:rsidR="006322FE" w:rsidRDefault="006322FE" w:rsidP="006322FE">
      <w:pPr>
        <w:pStyle w:val="Appendix1"/>
      </w:pPr>
      <w:bookmarkStart w:id="44" w:name="_Toc357155095"/>
      <w:bookmarkStart w:id="45" w:name="AppendixD"/>
      <w:r>
        <w:lastRenderedPageBreak/>
        <w:t>Appendix D – The calculation of Employer contributions</w:t>
      </w:r>
      <w:bookmarkEnd w:id="44"/>
    </w:p>
    <w:bookmarkEnd w:id="45"/>
    <w:p w14:paraId="3BC30979" w14:textId="77777777" w:rsidR="006322FE" w:rsidRPr="00416A92" w:rsidRDefault="006322FE" w:rsidP="006322FE">
      <w:pPr>
        <w:pStyle w:val="BodyTextGrey"/>
        <w:rPr>
          <w:sz w:val="24"/>
          <w:szCs w:val="24"/>
        </w:rPr>
      </w:pPr>
      <w:r w:rsidRPr="00416A92">
        <w:rPr>
          <w:sz w:val="24"/>
          <w:szCs w:val="24"/>
        </w:rPr>
        <w:t xml:space="preserve">In </w:t>
      </w:r>
      <w:hyperlink w:anchor="Section2" w:history="1">
        <w:r w:rsidRPr="00416A92">
          <w:rPr>
            <w:rStyle w:val="Hyperlink"/>
            <w:sz w:val="24"/>
            <w:szCs w:val="24"/>
          </w:rPr>
          <w:t>Section 2</w:t>
        </w:r>
      </w:hyperlink>
      <w:r w:rsidRPr="00416A92">
        <w:rPr>
          <w:sz w:val="24"/>
          <w:szCs w:val="24"/>
        </w:rPr>
        <w:t xml:space="preserve"> there was a broad description of the way in which contribution rates are calculated. </w:t>
      </w:r>
      <w:r w:rsidR="00A803D5" w:rsidRPr="00416A92">
        <w:rPr>
          <w:sz w:val="24"/>
          <w:szCs w:val="24"/>
        </w:rPr>
        <w:t xml:space="preserve"> </w:t>
      </w:r>
      <w:r w:rsidRPr="00416A92">
        <w:rPr>
          <w:sz w:val="24"/>
          <w:szCs w:val="24"/>
        </w:rPr>
        <w:t>This Appendix considers these calculations in much more detail.</w:t>
      </w:r>
    </w:p>
    <w:p w14:paraId="19D33F45" w14:textId="77777777" w:rsidR="009C453C" w:rsidRPr="00C01D1A" w:rsidRDefault="009C453C" w:rsidP="009C453C">
      <w:pPr>
        <w:pStyle w:val="BodyTextGrey"/>
        <w:rPr>
          <w:sz w:val="24"/>
          <w:szCs w:val="24"/>
        </w:rPr>
      </w:pPr>
      <w:r w:rsidRPr="00C01D1A">
        <w:rPr>
          <w:sz w:val="24"/>
          <w:szCs w:val="24"/>
        </w:rPr>
        <w:t xml:space="preserve">As discussed in </w:t>
      </w:r>
      <w:hyperlink w:anchor="Section2" w:history="1">
        <w:r w:rsidRPr="00C01D1A">
          <w:rPr>
            <w:rStyle w:val="Hyperlink"/>
            <w:sz w:val="24"/>
            <w:szCs w:val="24"/>
          </w:rPr>
          <w:t>Section 2</w:t>
        </w:r>
      </w:hyperlink>
      <w:r w:rsidRPr="00C01D1A">
        <w:rPr>
          <w:sz w:val="24"/>
          <w:szCs w:val="24"/>
        </w:rPr>
        <w:t>, the actuary calculates the required contribution rate for each employer using a three-step process:</w:t>
      </w:r>
    </w:p>
    <w:p w14:paraId="582F05E5" w14:textId="77777777" w:rsidR="009C453C" w:rsidRPr="00C01D1A" w:rsidRDefault="009C453C" w:rsidP="009C453C">
      <w:pPr>
        <w:pStyle w:val="BodyTextGrey"/>
        <w:numPr>
          <w:ilvl w:val="0"/>
          <w:numId w:val="2"/>
        </w:numPr>
        <w:rPr>
          <w:sz w:val="24"/>
          <w:szCs w:val="24"/>
        </w:rPr>
      </w:pPr>
      <w:r w:rsidRPr="00C01D1A">
        <w:rPr>
          <w:sz w:val="24"/>
          <w:szCs w:val="24"/>
        </w:rPr>
        <w:t xml:space="preserve">Calculate the funding target for that employer, i.e. the estimated amount of assets it should hold in order to be able to pay all its members’ benefits. See </w:t>
      </w:r>
      <w:hyperlink w:anchor="AppendixE" w:history="1">
        <w:r w:rsidRPr="00C01D1A">
          <w:rPr>
            <w:rStyle w:val="Hyperlink"/>
            <w:sz w:val="24"/>
            <w:szCs w:val="24"/>
          </w:rPr>
          <w:t>Appendix E</w:t>
        </w:r>
      </w:hyperlink>
      <w:r w:rsidRPr="00C01D1A">
        <w:rPr>
          <w:sz w:val="24"/>
          <w:szCs w:val="24"/>
        </w:rPr>
        <w:t xml:space="preserve"> for more details of what assumptions we make to determine that funding target;</w:t>
      </w:r>
    </w:p>
    <w:p w14:paraId="1F01F524" w14:textId="77777777" w:rsidR="009C453C" w:rsidRPr="00C01D1A" w:rsidRDefault="009C453C" w:rsidP="009C453C">
      <w:pPr>
        <w:pStyle w:val="BodyTextGrey"/>
        <w:numPr>
          <w:ilvl w:val="0"/>
          <w:numId w:val="2"/>
        </w:numPr>
        <w:rPr>
          <w:sz w:val="24"/>
          <w:szCs w:val="24"/>
        </w:rPr>
      </w:pPr>
      <w:r w:rsidRPr="00C01D1A">
        <w:rPr>
          <w:sz w:val="24"/>
          <w:szCs w:val="24"/>
        </w:rPr>
        <w:t xml:space="preserve">Determine the time horizon over which the employer should aim to achieve that funding target. See the table in </w:t>
      </w:r>
      <w:hyperlink w:anchor="TheDifferentApproachesUsedForDiffEmps3_3" w:history="1">
        <w:r w:rsidRPr="00C01D1A">
          <w:rPr>
            <w:rStyle w:val="Hyperlink"/>
            <w:sz w:val="24"/>
            <w:szCs w:val="24"/>
          </w:rPr>
          <w:t>3.3</w:t>
        </w:r>
      </w:hyperlink>
      <w:r w:rsidRPr="00C01D1A">
        <w:rPr>
          <w:sz w:val="24"/>
          <w:szCs w:val="24"/>
        </w:rPr>
        <w:t xml:space="preserve"> and </w:t>
      </w:r>
      <w:hyperlink w:anchor="Notec" w:history="1">
        <w:r w:rsidRPr="00C01D1A">
          <w:rPr>
            <w:rStyle w:val="Hyperlink"/>
            <w:sz w:val="24"/>
            <w:szCs w:val="24"/>
          </w:rPr>
          <w:t>Note (c)</w:t>
        </w:r>
      </w:hyperlink>
      <w:r w:rsidRPr="00C01D1A">
        <w:rPr>
          <w:sz w:val="24"/>
          <w:szCs w:val="24"/>
        </w:rPr>
        <w:t xml:space="preserve"> for more details;</w:t>
      </w:r>
    </w:p>
    <w:p w14:paraId="29261C7A" w14:textId="77777777" w:rsidR="009C453C" w:rsidRPr="00C01D1A" w:rsidRDefault="009C453C" w:rsidP="009C453C">
      <w:pPr>
        <w:pStyle w:val="BodyTextGrey"/>
        <w:numPr>
          <w:ilvl w:val="0"/>
          <w:numId w:val="2"/>
        </w:numPr>
        <w:rPr>
          <w:sz w:val="24"/>
          <w:szCs w:val="24"/>
        </w:rPr>
      </w:pPr>
      <w:r w:rsidRPr="00C01D1A">
        <w:rPr>
          <w:sz w:val="24"/>
          <w:szCs w:val="24"/>
        </w:rPr>
        <w:t xml:space="preserve">Calculate the employer contribution rate such that it has at least a given likelihood of achieving that funding target over that time horizon, allowing for various possible economic outcomes over that time horizon. See the table in </w:t>
      </w:r>
      <w:hyperlink w:anchor="TheDifferentApproachesUsedForDiffEmps3_3" w:history="1">
        <w:r w:rsidRPr="00C01D1A">
          <w:rPr>
            <w:rStyle w:val="Hyperlink"/>
            <w:sz w:val="24"/>
            <w:szCs w:val="24"/>
          </w:rPr>
          <w:t>3.3</w:t>
        </w:r>
      </w:hyperlink>
      <w:r w:rsidRPr="00C01D1A">
        <w:rPr>
          <w:sz w:val="24"/>
          <w:szCs w:val="24"/>
        </w:rPr>
        <w:t xml:space="preserve"> </w:t>
      </w:r>
      <w:hyperlink w:anchor="Notee" w:history="1">
        <w:r w:rsidRPr="00C01D1A">
          <w:rPr>
            <w:rStyle w:val="Hyperlink"/>
            <w:sz w:val="24"/>
            <w:szCs w:val="24"/>
          </w:rPr>
          <w:t>Note (e)</w:t>
        </w:r>
      </w:hyperlink>
      <w:r w:rsidRPr="00C01D1A">
        <w:rPr>
          <w:sz w:val="24"/>
          <w:szCs w:val="24"/>
        </w:rPr>
        <w:t xml:space="preserve"> for more details.</w:t>
      </w:r>
    </w:p>
    <w:p w14:paraId="16002CD5" w14:textId="77777777" w:rsidR="006322FE" w:rsidRPr="00C01D1A" w:rsidRDefault="006322FE" w:rsidP="006322FE">
      <w:pPr>
        <w:pStyle w:val="BodyTextGrey"/>
        <w:rPr>
          <w:sz w:val="24"/>
          <w:szCs w:val="24"/>
        </w:rPr>
      </w:pPr>
      <w:r w:rsidRPr="00C01D1A">
        <w:rPr>
          <w:sz w:val="24"/>
          <w:szCs w:val="24"/>
        </w:rPr>
        <w:t xml:space="preserve">The calculations involve actuarial assumptions about future experience, and these are described in detail in </w:t>
      </w:r>
      <w:hyperlink w:anchor="AppendixE" w:history="1">
        <w:r w:rsidRPr="00C01D1A">
          <w:rPr>
            <w:rStyle w:val="Hyperlink"/>
            <w:sz w:val="24"/>
            <w:szCs w:val="24"/>
          </w:rPr>
          <w:t>Appendix E</w:t>
        </w:r>
      </w:hyperlink>
      <w:r w:rsidRPr="00C01D1A">
        <w:rPr>
          <w:sz w:val="24"/>
          <w:szCs w:val="24"/>
        </w:rPr>
        <w:t>.</w:t>
      </w:r>
    </w:p>
    <w:p w14:paraId="1FC49636" w14:textId="77777777" w:rsidR="006322FE" w:rsidRPr="00C01D1A" w:rsidRDefault="006322FE" w:rsidP="006322FE">
      <w:pPr>
        <w:pStyle w:val="Appendix2"/>
        <w:ind w:left="720" w:hanging="720"/>
        <w:rPr>
          <w:sz w:val="24"/>
          <w:szCs w:val="24"/>
        </w:rPr>
      </w:pPr>
      <w:r w:rsidRPr="00C01D1A">
        <w:rPr>
          <w:sz w:val="24"/>
          <w:szCs w:val="24"/>
        </w:rPr>
        <w:t>D1</w:t>
      </w:r>
      <w:r w:rsidRPr="00C01D1A">
        <w:rPr>
          <w:sz w:val="24"/>
          <w:szCs w:val="24"/>
        </w:rPr>
        <w:tab/>
        <w:t xml:space="preserve">What is the difference between calculations across the whole </w:t>
      </w:r>
      <w:r w:rsidR="003A11C3" w:rsidRPr="00C01D1A">
        <w:rPr>
          <w:sz w:val="24"/>
          <w:szCs w:val="24"/>
        </w:rPr>
        <w:t>Fund</w:t>
      </w:r>
      <w:r w:rsidRPr="00C01D1A">
        <w:rPr>
          <w:sz w:val="24"/>
          <w:szCs w:val="24"/>
        </w:rPr>
        <w:t xml:space="preserve"> and calculations for an individual employer?</w:t>
      </w:r>
    </w:p>
    <w:p w14:paraId="53C35D3F" w14:textId="77777777" w:rsidR="006322FE" w:rsidRPr="00C01D1A" w:rsidRDefault="006322FE" w:rsidP="006322FE">
      <w:pPr>
        <w:pStyle w:val="BodyTextGrey"/>
        <w:rPr>
          <w:sz w:val="24"/>
          <w:szCs w:val="24"/>
        </w:rPr>
      </w:pPr>
      <w:r w:rsidRPr="00C01D1A">
        <w:rPr>
          <w:sz w:val="24"/>
          <w:szCs w:val="24"/>
        </w:rPr>
        <w:t>Employer contributions are normally made up of two elements:</w:t>
      </w:r>
    </w:p>
    <w:p w14:paraId="08DD2C9B" w14:textId="4DB37A5D" w:rsidR="006322FE" w:rsidRPr="00C01D1A" w:rsidRDefault="006322FE" w:rsidP="004452F9">
      <w:pPr>
        <w:pStyle w:val="BodyTextGrey"/>
        <w:numPr>
          <w:ilvl w:val="0"/>
          <w:numId w:val="15"/>
        </w:numPr>
        <w:ind w:left="567" w:hanging="567"/>
        <w:rPr>
          <w:sz w:val="24"/>
          <w:szCs w:val="24"/>
        </w:rPr>
      </w:pPr>
      <w:r w:rsidRPr="00C01D1A">
        <w:rPr>
          <w:sz w:val="24"/>
          <w:szCs w:val="24"/>
        </w:rPr>
        <w:t xml:space="preserve">the estimated cost of </w:t>
      </w:r>
      <w:r w:rsidR="007E5AE9" w:rsidRPr="00C01D1A">
        <w:rPr>
          <w:sz w:val="24"/>
          <w:szCs w:val="24"/>
        </w:rPr>
        <w:t xml:space="preserve">ongoing </w:t>
      </w:r>
      <w:r w:rsidRPr="00C01D1A">
        <w:rPr>
          <w:sz w:val="24"/>
          <w:szCs w:val="24"/>
        </w:rPr>
        <w:t>benefits being accrued,  referred to as the “</w:t>
      </w:r>
      <w:r w:rsidR="007E5AE9" w:rsidRPr="00C01D1A">
        <w:rPr>
          <w:sz w:val="24"/>
          <w:szCs w:val="24"/>
        </w:rPr>
        <w:t>Primary contribution</w:t>
      </w:r>
      <w:r w:rsidRPr="00C01D1A">
        <w:rPr>
          <w:sz w:val="24"/>
          <w:szCs w:val="24"/>
        </w:rPr>
        <w:t xml:space="preserve"> rate”</w:t>
      </w:r>
      <w:r w:rsidR="00AC18A6" w:rsidRPr="00C01D1A">
        <w:rPr>
          <w:sz w:val="24"/>
          <w:szCs w:val="24"/>
        </w:rPr>
        <w:t xml:space="preserve"> (see </w:t>
      </w:r>
      <w:hyperlink w:anchor="howistheprimarycontributionratecalculate" w:history="1">
        <w:r w:rsidR="00AC18A6" w:rsidRPr="00C01D1A">
          <w:rPr>
            <w:rStyle w:val="Hyperlink"/>
            <w:sz w:val="24"/>
            <w:szCs w:val="24"/>
          </w:rPr>
          <w:t>D2</w:t>
        </w:r>
      </w:hyperlink>
      <w:r w:rsidR="00AC18A6" w:rsidRPr="00C01D1A">
        <w:rPr>
          <w:sz w:val="24"/>
          <w:szCs w:val="24"/>
        </w:rPr>
        <w:t xml:space="preserve"> below)</w:t>
      </w:r>
      <w:r w:rsidRPr="00C01D1A">
        <w:rPr>
          <w:sz w:val="24"/>
          <w:szCs w:val="24"/>
        </w:rPr>
        <w:t>; plus</w:t>
      </w:r>
    </w:p>
    <w:p w14:paraId="2804ED4F" w14:textId="34131537" w:rsidR="006322FE" w:rsidRPr="00C01D1A" w:rsidRDefault="007E5AE9" w:rsidP="004452F9">
      <w:pPr>
        <w:pStyle w:val="BodyTextGrey"/>
        <w:numPr>
          <w:ilvl w:val="0"/>
          <w:numId w:val="15"/>
        </w:numPr>
        <w:ind w:left="567" w:hanging="567"/>
        <w:rPr>
          <w:sz w:val="24"/>
          <w:szCs w:val="24"/>
        </w:rPr>
      </w:pPr>
      <w:r w:rsidRPr="00C01D1A">
        <w:rPr>
          <w:sz w:val="24"/>
          <w:szCs w:val="24"/>
        </w:rPr>
        <w:t>an adjustment for the difference between the Primary rate above, and the actual contribution the employer needs to pay, referred to as the “Secondary contribution rate</w:t>
      </w:r>
      <w:r w:rsidR="00AC18A6" w:rsidRPr="00C01D1A">
        <w:rPr>
          <w:sz w:val="24"/>
          <w:szCs w:val="24"/>
        </w:rPr>
        <w:t xml:space="preserve">” </w:t>
      </w:r>
      <w:r w:rsidRPr="00C01D1A">
        <w:rPr>
          <w:sz w:val="24"/>
          <w:szCs w:val="24"/>
        </w:rPr>
        <w:t>(</w:t>
      </w:r>
      <w:r w:rsidR="00AC18A6" w:rsidRPr="00C01D1A">
        <w:rPr>
          <w:sz w:val="24"/>
          <w:szCs w:val="24"/>
        </w:rPr>
        <w:t xml:space="preserve">see </w:t>
      </w:r>
      <w:hyperlink w:anchor="howisthesecondarycontributionrate" w:history="1">
        <w:r w:rsidR="00AC18A6" w:rsidRPr="00C01D1A">
          <w:rPr>
            <w:rStyle w:val="Hyperlink"/>
            <w:sz w:val="24"/>
            <w:szCs w:val="24"/>
          </w:rPr>
          <w:t>D3</w:t>
        </w:r>
      </w:hyperlink>
      <w:r w:rsidR="00AC18A6" w:rsidRPr="00C01D1A">
        <w:rPr>
          <w:sz w:val="24"/>
          <w:szCs w:val="24"/>
        </w:rPr>
        <w:t xml:space="preserve"> below</w:t>
      </w:r>
      <w:r w:rsidRPr="00C01D1A">
        <w:rPr>
          <w:sz w:val="24"/>
          <w:szCs w:val="24"/>
        </w:rPr>
        <w:t xml:space="preserve">). </w:t>
      </w:r>
    </w:p>
    <w:p w14:paraId="21E59236" w14:textId="030E0030" w:rsidR="00460442" w:rsidRPr="00C01D1A" w:rsidRDefault="007E5AE9" w:rsidP="00460442">
      <w:pPr>
        <w:pStyle w:val="BodyTextGrey"/>
        <w:rPr>
          <w:sz w:val="24"/>
          <w:szCs w:val="24"/>
        </w:rPr>
      </w:pPr>
      <w:r w:rsidRPr="00C01D1A">
        <w:rPr>
          <w:sz w:val="24"/>
          <w:szCs w:val="24"/>
        </w:rPr>
        <w:t xml:space="preserve">The </w:t>
      </w:r>
      <w:r w:rsidR="00AC18A6" w:rsidRPr="00C01D1A">
        <w:rPr>
          <w:sz w:val="24"/>
          <w:szCs w:val="24"/>
        </w:rPr>
        <w:t xml:space="preserve">contribution rate for each employer is measured as above, appropriate for each employer’s </w:t>
      </w:r>
      <w:r w:rsidR="009C453C" w:rsidRPr="00C01D1A">
        <w:rPr>
          <w:sz w:val="24"/>
          <w:szCs w:val="24"/>
        </w:rPr>
        <w:t xml:space="preserve">assets, liabilities </w:t>
      </w:r>
      <w:r w:rsidR="00AC18A6" w:rsidRPr="00C01D1A">
        <w:rPr>
          <w:sz w:val="24"/>
          <w:szCs w:val="24"/>
        </w:rPr>
        <w:t xml:space="preserve">and membership. The whole Fund position, including that used in reporting to </w:t>
      </w:r>
      <w:r w:rsidR="003E6CB1" w:rsidRPr="00C01D1A">
        <w:rPr>
          <w:sz w:val="24"/>
          <w:szCs w:val="24"/>
        </w:rPr>
        <w:t>MHCLG</w:t>
      </w:r>
      <w:r w:rsidR="00AC18A6" w:rsidRPr="00C01D1A">
        <w:rPr>
          <w:sz w:val="24"/>
          <w:szCs w:val="24"/>
        </w:rPr>
        <w:t xml:space="preserve"> (see section 5), is calculated in effect as the sum of all the individual employer rates.</w:t>
      </w:r>
      <w:r w:rsidR="006F7051" w:rsidRPr="00C01D1A">
        <w:rPr>
          <w:sz w:val="24"/>
          <w:szCs w:val="24"/>
        </w:rPr>
        <w:t xml:space="preserve"> </w:t>
      </w:r>
      <w:r w:rsidR="003E6CB1" w:rsidRPr="00C01D1A">
        <w:rPr>
          <w:sz w:val="24"/>
          <w:szCs w:val="24"/>
        </w:rPr>
        <w:t>MHCLG</w:t>
      </w:r>
      <w:r w:rsidR="006F7051" w:rsidRPr="00C01D1A">
        <w:rPr>
          <w:sz w:val="24"/>
          <w:szCs w:val="24"/>
        </w:rPr>
        <w:t xml:space="preserve"> currently only regulates at whole Fund level, without monitoring individual employer positions.</w:t>
      </w:r>
    </w:p>
    <w:p w14:paraId="3FFF288F" w14:textId="7F26E426" w:rsidR="006322FE" w:rsidRPr="00C01D1A" w:rsidRDefault="006322FE" w:rsidP="006322FE">
      <w:pPr>
        <w:pStyle w:val="Appendix2"/>
        <w:rPr>
          <w:sz w:val="24"/>
          <w:szCs w:val="24"/>
        </w:rPr>
      </w:pPr>
      <w:r w:rsidRPr="00C01D1A">
        <w:rPr>
          <w:sz w:val="24"/>
          <w:szCs w:val="24"/>
        </w:rPr>
        <w:t>D2</w:t>
      </w:r>
      <w:r w:rsidRPr="00C01D1A">
        <w:rPr>
          <w:sz w:val="24"/>
          <w:szCs w:val="24"/>
        </w:rPr>
        <w:tab/>
      </w:r>
      <w:bookmarkStart w:id="46" w:name="howistheprimarycontributionratecalculate"/>
      <w:r w:rsidRPr="00C01D1A">
        <w:rPr>
          <w:sz w:val="24"/>
          <w:szCs w:val="24"/>
        </w:rPr>
        <w:t xml:space="preserve">How is the </w:t>
      </w:r>
      <w:r w:rsidR="00AC18A6" w:rsidRPr="00C01D1A">
        <w:rPr>
          <w:sz w:val="24"/>
          <w:szCs w:val="24"/>
        </w:rPr>
        <w:t>Primary contribution</w:t>
      </w:r>
      <w:r w:rsidRPr="00C01D1A">
        <w:rPr>
          <w:sz w:val="24"/>
          <w:szCs w:val="24"/>
        </w:rPr>
        <w:t xml:space="preserve"> </w:t>
      </w:r>
      <w:r w:rsidR="00AC18A6" w:rsidRPr="00C01D1A">
        <w:rPr>
          <w:sz w:val="24"/>
          <w:szCs w:val="24"/>
        </w:rPr>
        <w:t>r</w:t>
      </w:r>
      <w:r w:rsidRPr="00C01D1A">
        <w:rPr>
          <w:sz w:val="24"/>
          <w:szCs w:val="24"/>
        </w:rPr>
        <w:t xml:space="preserve">ate calculated? </w:t>
      </w:r>
      <w:bookmarkEnd w:id="46"/>
    </w:p>
    <w:p w14:paraId="3AC3DE2D" w14:textId="5D5F4BC5" w:rsidR="006322FE" w:rsidRPr="00C01D1A" w:rsidRDefault="006322FE" w:rsidP="006322FE">
      <w:pPr>
        <w:pStyle w:val="BodyTextGrey"/>
        <w:rPr>
          <w:sz w:val="24"/>
          <w:szCs w:val="24"/>
        </w:rPr>
      </w:pPr>
      <w:r w:rsidRPr="00C01D1A">
        <w:rPr>
          <w:sz w:val="24"/>
          <w:szCs w:val="24"/>
        </w:rPr>
        <w:t xml:space="preserve">The </w:t>
      </w:r>
      <w:r w:rsidR="00AC18A6" w:rsidRPr="00C01D1A">
        <w:rPr>
          <w:sz w:val="24"/>
          <w:szCs w:val="24"/>
        </w:rPr>
        <w:t>Primary</w:t>
      </w:r>
      <w:r w:rsidRPr="00C01D1A">
        <w:rPr>
          <w:sz w:val="24"/>
          <w:szCs w:val="24"/>
        </w:rPr>
        <w:t xml:space="preserve"> element of the employer contribution rate is calculated with the aim that these contributions will meet benefit payments in respect of members’ </w:t>
      </w:r>
      <w:r w:rsidRPr="00C01D1A">
        <w:rPr>
          <w:b/>
          <w:sz w:val="24"/>
          <w:szCs w:val="24"/>
        </w:rPr>
        <w:t>future</w:t>
      </w:r>
      <w:r w:rsidRPr="00C01D1A">
        <w:rPr>
          <w:sz w:val="24"/>
          <w:szCs w:val="24"/>
        </w:rPr>
        <w:t xml:space="preserve"> service in the Fund.  This is based upon the cost (in excess of members’ contributions) of the benefits which employee members earn from their service each year.  </w:t>
      </w:r>
    </w:p>
    <w:p w14:paraId="4008C7EB" w14:textId="2896D121" w:rsidR="00A66FE8" w:rsidRPr="00C01D1A" w:rsidRDefault="006322FE" w:rsidP="00A66FE8">
      <w:pPr>
        <w:pStyle w:val="BodyTextGrey"/>
        <w:rPr>
          <w:sz w:val="24"/>
          <w:szCs w:val="24"/>
        </w:rPr>
      </w:pPr>
      <w:r w:rsidRPr="00C01D1A">
        <w:rPr>
          <w:sz w:val="24"/>
          <w:szCs w:val="24"/>
        </w:rPr>
        <w:t xml:space="preserve">The </w:t>
      </w:r>
      <w:r w:rsidR="00AC18A6" w:rsidRPr="00C01D1A">
        <w:rPr>
          <w:sz w:val="24"/>
          <w:szCs w:val="24"/>
        </w:rPr>
        <w:t>Primary</w:t>
      </w:r>
      <w:r w:rsidRPr="00C01D1A">
        <w:rPr>
          <w:sz w:val="24"/>
          <w:szCs w:val="24"/>
        </w:rPr>
        <w:t xml:space="preserve"> rate is calculated separately for all the employers, although employers within a pool will pay the contribution rate applicable to the pool as a whole. </w:t>
      </w:r>
      <w:r w:rsidR="00BA185D" w:rsidRPr="00C01D1A">
        <w:rPr>
          <w:sz w:val="24"/>
          <w:szCs w:val="24"/>
        </w:rPr>
        <w:t xml:space="preserve"> </w:t>
      </w:r>
      <w:r w:rsidR="00A66FE8" w:rsidRPr="00C01D1A">
        <w:rPr>
          <w:sz w:val="24"/>
          <w:szCs w:val="24"/>
        </w:rPr>
        <w:t>The Primary rate is calculated such that it is projected to:</w:t>
      </w:r>
    </w:p>
    <w:p w14:paraId="2BEA5757" w14:textId="14BC5177" w:rsidR="00A66FE8" w:rsidRPr="00C01D1A" w:rsidRDefault="00A66FE8" w:rsidP="00C728B0">
      <w:pPr>
        <w:pStyle w:val="BodyTextGrey"/>
        <w:numPr>
          <w:ilvl w:val="0"/>
          <w:numId w:val="28"/>
        </w:numPr>
        <w:rPr>
          <w:sz w:val="24"/>
          <w:szCs w:val="24"/>
        </w:rPr>
      </w:pPr>
      <w:r w:rsidRPr="00C01D1A">
        <w:rPr>
          <w:sz w:val="24"/>
          <w:szCs w:val="24"/>
        </w:rPr>
        <w:t xml:space="preserve">meet the required funding target for </w:t>
      </w:r>
      <w:r w:rsidR="006F7051" w:rsidRPr="00C01D1A">
        <w:rPr>
          <w:sz w:val="24"/>
          <w:szCs w:val="24"/>
        </w:rPr>
        <w:t>all future year</w:t>
      </w:r>
      <w:r w:rsidRPr="00C01D1A">
        <w:rPr>
          <w:sz w:val="24"/>
          <w:szCs w:val="24"/>
        </w:rPr>
        <w:t>s</w:t>
      </w:r>
      <w:r w:rsidR="006F7051" w:rsidRPr="00C01D1A">
        <w:rPr>
          <w:sz w:val="24"/>
          <w:szCs w:val="24"/>
        </w:rPr>
        <w:t>’</w:t>
      </w:r>
      <w:r w:rsidRPr="00C01D1A">
        <w:rPr>
          <w:sz w:val="24"/>
          <w:szCs w:val="24"/>
        </w:rPr>
        <w:t xml:space="preserve"> accrual of benefits</w:t>
      </w:r>
      <w:r w:rsidR="006F7051" w:rsidRPr="00C01D1A">
        <w:rPr>
          <w:sz w:val="24"/>
          <w:szCs w:val="24"/>
        </w:rPr>
        <w:t>*</w:t>
      </w:r>
      <w:r w:rsidRPr="00C01D1A">
        <w:rPr>
          <w:sz w:val="24"/>
          <w:szCs w:val="24"/>
        </w:rPr>
        <w:t>, excluding any accrued assets</w:t>
      </w:r>
      <w:r w:rsidR="006F7051" w:rsidRPr="00C01D1A">
        <w:rPr>
          <w:sz w:val="24"/>
          <w:szCs w:val="24"/>
        </w:rPr>
        <w:t>,</w:t>
      </w:r>
    </w:p>
    <w:p w14:paraId="58257DB2" w14:textId="318228A3" w:rsidR="00A66FE8" w:rsidRPr="00C01D1A" w:rsidRDefault="00A66FE8" w:rsidP="00C728B0">
      <w:pPr>
        <w:pStyle w:val="BodyTextGrey"/>
        <w:numPr>
          <w:ilvl w:val="0"/>
          <w:numId w:val="28"/>
        </w:numPr>
        <w:rPr>
          <w:sz w:val="24"/>
          <w:szCs w:val="24"/>
        </w:rPr>
      </w:pPr>
      <w:r w:rsidRPr="00C01D1A">
        <w:rPr>
          <w:sz w:val="24"/>
          <w:szCs w:val="24"/>
        </w:rPr>
        <w:lastRenderedPageBreak/>
        <w:t>with</w:t>
      </w:r>
      <w:r w:rsidR="001C25F0" w:rsidRPr="00C01D1A">
        <w:rPr>
          <w:sz w:val="24"/>
          <w:szCs w:val="24"/>
        </w:rPr>
        <w:t xml:space="preserve">in the determined time horizon (see </w:t>
      </w:r>
      <w:hyperlink w:anchor="Notec" w:history="1">
        <w:r w:rsidR="001C25F0" w:rsidRPr="00C01D1A">
          <w:rPr>
            <w:rStyle w:val="Hyperlink"/>
            <w:sz w:val="24"/>
            <w:szCs w:val="24"/>
          </w:rPr>
          <w:t>note 3.3 Note (c)</w:t>
        </w:r>
      </w:hyperlink>
      <w:r w:rsidRPr="00C01D1A">
        <w:rPr>
          <w:sz w:val="24"/>
          <w:szCs w:val="24"/>
        </w:rPr>
        <w:t xml:space="preserve"> for further details)</w:t>
      </w:r>
      <w:r w:rsidR="006F7051" w:rsidRPr="00C01D1A">
        <w:rPr>
          <w:sz w:val="24"/>
          <w:szCs w:val="24"/>
        </w:rPr>
        <w:t>,</w:t>
      </w:r>
    </w:p>
    <w:p w14:paraId="3153EE61" w14:textId="4B29D52E" w:rsidR="00A66FE8" w:rsidRPr="00C01D1A" w:rsidRDefault="00A66FE8" w:rsidP="00C728B0">
      <w:pPr>
        <w:pStyle w:val="BodyTextGrey"/>
        <w:numPr>
          <w:ilvl w:val="0"/>
          <w:numId w:val="28"/>
        </w:numPr>
        <w:rPr>
          <w:sz w:val="24"/>
          <w:szCs w:val="24"/>
        </w:rPr>
      </w:pPr>
      <w:r w:rsidRPr="00C01D1A">
        <w:rPr>
          <w:sz w:val="24"/>
          <w:szCs w:val="24"/>
        </w:rPr>
        <w:t xml:space="preserve">with a sufficiently </w:t>
      </w:r>
      <w:proofErr w:type="spellStart"/>
      <w:r w:rsidRPr="00C01D1A">
        <w:rPr>
          <w:sz w:val="24"/>
          <w:szCs w:val="24"/>
        </w:rPr>
        <w:t>high</w:t>
      </w:r>
      <w:r w:rsidR="009C453C" w:rsidRPr="00C01D1A">
        <w:rPr>
          <w:sz w:val="24"/>
          <w:szCs w:val="24"/>
        </w:rPr>
        <w:t>likelihood</w:t>
      </w:r>
      <w:proofErr w:type="spellEnd"/>
      <w:r w:rsidRPr="00C01D1A">
        <w:rPr>
          <w:sz w:val="24"/>
          <w:szCs w:val="24"/>
        </w:rPr>
        <w:t xml:space="preserve">, as set by the Fund’s strategy for the category of employer (see </w:t>
      </w:r>
      <w:hyperlink w:anchor="Notee" w:history="1">
        <w:r w:rsidRPr="00C01D1A">
          <w:rPr>
            <w:rStyle w:val="Hyperlink"/>
            <w:sz w:val="24"/>
            <w:szCs w:val="24"/>
          </w:rPr>
          <w:t>3.3 Note (e)</w:t>
        </w:r>
      </w:hyperlink>
      <w:r w:rsidRPr="00C01D1A">
        <w:rPr>
          <w:sz w:val="24"/>
          <w:szCs w:val="24"/>
        </w:rPr>
        <w:t xml:space="preserve"> for further details).</w:t>
      </w:r>
    </w:p>
    <w:p w14:paraId="178DF8C8" w14:textId="746AE23F" w:rsidR="006F7051" w:rsidRPr="00C01D1A" w:rsidRDefault="006F7051" w:rsidP="00A66FE8">
      <w:pPr>
        <w:pStyle w:val="BodyTextGrey"/>
        <w:rPr>
          <w:sz w:val="24"/>
          <w:szCs w:val="24"/>
        </w:rPr>
      </w:pPr>
      <w:r w:rsidRPr="00C01D1A">
        <w:rPr>
          <w:sz w:val="24"/>
          <w:szCs w:val="24"/>
        </w:rPr>
        <w:t>* The projection is for the current active membership where the employer no longer admits new entrants, or additionally allows for new entrants where this is appropriate.</w:t>
      </w:r>
    </w:p>
    <w:p w14:paraId="38803F7C" w14:textId="2E8D4491" w:rsidR="006322FE" w:rsidRPr="00C01D1A" w:rsidRDefault="00A66FE8" w:rsidP="00A66FE8">
      <w:pPr>
        <w:pStyle w:val="BodyTextGrey"/>
        <w:rPr>
          <w:sz w:val="24"/>
          <w:szCs w:val="24"/>
        </w:rPr>
      </w:pPr>
      <w:r w:rsidRPr="00C01D1A">
        <w:rPr>
          <w:sz w:val="24"/>
          <w:szCs w:val="24"/>
        </w:rPr>
        <w:t xml:space="preserve">The projections are carried out using an economic modeller </w:t>
      </w:r>
      <w:r w:rsidR="009C453C" w:rsidRPr="00C01D1A">
        <w:rPr>
          <w:sz w:val="24"/>
          <w:szCs w:val="24"/>
        </w:rPr>
        <w:t xml:space="preserve">(the “Economic Scenario Service”) </w:t>
      </w:r>
      <w:r w:rsidRPr="00C01D1A">
        <w:rPr>
          <w:sz w:val="24"/>
          <w:szCs w:val="24"/>
        </w:rPr>
        <w:t>developed by the Fund</w:t>
      </w:r>
      <w:r w:rsidR="006F7051" w:rsidRPr="00C01D1A">
        <w:rPr>
          <w:sz w:val="24"/>
          <w:szCs w:val="24"/>
        </w:rPr>
        <w:t>’s</w:t>
      </w:r>
      <w:r w:rsidRPr="00C01D1A">
        <w:rPr>
          <w:sz w:val="24"/>
          <w:szCs w:val="24"/>
        </w:rPr>
        <w:t xml:space="preserve"> </w:t>
      </w:r>
      <w:r w:rsidR="006F7051" w:rsidRPr="00C01D1A">
        <w:rPr>
          <w:sz w:val="24"/>
          <w:szCs w:val="24"/>
        </w:rPr>
        <w:t>a</w:t>
      </w:r>
      <w:r w:rsidRPr="00C01D1A">
        <w:rPr>
          <w:sz w:val="24"/>
          <w:szCs w:val="24"/>
        </w:rPr>
        <w:t xml:space="preserve">ctuary Hymans Robertson: this allows for a wide range of outcomes as regards key factors such as asset returns (based on the Fund’s investment strategy), inflation, and bond yields. </w:t>
      </w:r>
      <w:r w:rsidR="009C453C" w:rsidRPr="00C01D1A">
        <w:rPr>
          <w:sz w:val="24"/>
          <w:szCs w:val="24"/>
        </w:rPr>
        <w:t xml:space="preserve">Further information about this model is included in </w:t>
      </w:r>
      <w:hyperlink w:anchor="AppendixE" w:history="1">
        <w:r w:rsidR="009C453C" w:rsidRPr="00C01D1A">
          <w:rPr>
            <w:rStyle w:val="Hyperlink"/>
            <w:sz w:val="24"/>
            <w:szCs w:val="24"/>
          </w:rPr>
          <w:t>Appendix E</w:t>
        </w:r>
      </w:hyperlink>
      <w:r w:rsidR="009C453C" w:rsidRPr="00C01D1A">
        <w:rPr>
          <w:rStyle w:val="Hyperlink"/>
          <w:sz w:val="24"/>
          <w:szCs w:val="24"/>
        </w:rPr>
        <w:t xml:space="preserve">. </w:t>
      </w:r>
      <w:r w:rsidRPr="00C01D1A">
        <w:rPr>
          <w:sz w:val="24"/>
          <w:szCs w:val="24"/>
        </w:rPr>
        <w:t xml:space="preserve">The measured contributions are calculated such that the proportion of outcomes </w:t>
      </w:r>
      <w:r w:rsidR="006F7051" w:rsidRPr="00C01D1A">
        <w:rPr>
          <w:sz w:val="24"/>
          <w:szCs w:val="24"/>
        </w:rPr>
        <w:t>meeting the employer’s funding target</w:t>
      </w:r>
      <w:r w:rsidRPr="00C01D1A">
        <w:rPr>
          <w:sz w:val="24"/>
          <w:szCs w:val="24"/>
        </w:rPr>
        <w:t xml:space="preserve"> (</w:t>
      </w:r>
      <w:r w:rsidR="009C453C" w:rsidRPr="00C01D1A">
        <w:rPr>
          <w:sz w:val="24"/>
          <w:szCs w:val="24"/>
        </w:rPr>
        <w:t xml:space="preserve">at </w:t>
      </w:r>
      <w:r w:rsidRPr="00C01D1A">
        <w:rPr>
          <w:sz w:val="24"/>
          <w:szCs w:val="24"/>
        </w:rPr>
        <w:t xml:space="preserve">the end of the time horizon) is equal to the required </w:t>
      </w:r>
      <w:r w:rsidR="009C453C" w:rsidRPr="00C01D1A">
        <w:rPr>
          <w:sz w:val="24"/>
          <w:szCs w:val="24"/>
        </w:rPr>
        <w:t>likelihood</w:t>
      </w:r>
      <w:r w:rsidR="006322FE" w:rsidRPr="00C01D1A">
        <w:rPr>
          <w:sz w:val="24"/>
          <w:szCs w:val="24"/>
        </w:rPr>
        <w:t xml:space="preserve">. </w:t>
      </w:r>
    </w:p>
    <w:p w14:paraId="13693BA6" w14:textId="60D5B8D0" w:rsidR="006322FE" w:rsidRPr="00C01D1A" w:rsidRDefault="006F7051" w:rsidP="006322FE">
      <w:pPr>
        <w:pStyle w:val="BodyTextGrey"/>
        <w:rPr>
          <w:sz w:val="24"/>
          <w:szCs w:val="24"/>
        </w:rPr>
      </w:pPr>
      <w:r w:rsidRPr="00C01D1A">
        <w:rPr>
          <w:sz w:val="24"/>
          <w:szCs w:val="24"/>
        </w:rPr>
        <w:t xml:space="preserve">The </w:t>
      </w:r>
      <w:r w:rsidR="006322FE" w:rsidRPr="00C01D1A">
        <w:rPr>
          <w:sz w:val="24"/>
          <w:szCs w:val="24"/>
        </w:rPr>
        <w:t>approach include</w:t>
      </w:r>
      <w:r w:rsidRPr="00C01D1A">
        <w:rPr>
          <w:sz w:val="24"/>
          <w:szCs w:val="24"/>
        </w:rPr>
        <w:t>s</w:t>
      </w:r>
      <w:r w:rsidR="006322FE" w:rsidRPr="00C01D1A">
        <w:rPr>
          <w:sz w:val="24"/>
          <w:szCs w:val="24"/>
        </w:rPr>
        <w:t xml:space="preserve"> expenses of administration to the extent that they are borne by the Fund, and include</w:t>
      </w:r>
      <w:r w:rsidRPr="00C01D1A">
        <w:rPr>
          <w:sz w:val="24"/>
          <w:szCs w:val="24"/>
        </w:rPr>
        <w:t>s</w:t>
      </w:r>
      <w:r w:rsidR="006322FE" w:rsidRPr="00C01D1A">
        <w:rPr>
          <w:sz w:val="24"/>
          <w:szCs w:val="24"/>
        </w:rPr>
        <w:t xml:space="preserve"> allowances for benefits payable on death in service and </w:t>
      </w:r>
      <w:r w:rsidR="00460442" w:rsidRPr="00C01D1A">
        <w:rPr>
          <w:sz w:val="24"/>
          <w:szCs w:val="24"/>
        </w:rPr>
        <w:t xml:space="preserve">on </w:t>
      </w:r>
      <w:r w:rsidR="006322FE" w:rsidRPr="00C01D1A">
        <w:rPr>
          <w:sz w:val="24"/>
          <w:szCs w:val="24"/>
        </w:rPr>
        <w:t>ill health retirement.</w:t>
      </w:r>
    </w:p>
    <w:p w14:paraId="47221596" w14:textId="2B9C1478" w:rsidR="006322FE" w:rsidRPr="00C01D1A" w:rsidRDefault="006322FE" w:rsidP="006322FE">
      <w:pPr>
        <w:pStyle w:val="Appendix2"/>
        <w:rPr>
          <w:sz w:val="24"/>
          <w:szCs w:val="24"/>
        </w:rPr>
      </w:pPr>
      <w:r w:rsidRPr="00C01D1A">
        <w:rPr>
          <w:sz w:val="24"/>
          <w:szCs w:val="24"/>
        </w:rPr>
        <w:t>D3</w:t>
      </w:r>
      <w:r w:rsidRPr="00C01D1A">
        <w:rPr>
          <w:sz w:val="24"/>
          <w:szCs w:val="24"/>
        </w:rPr>
        <w:tab/>
      </w:r>
      <w:bookmarkStart w:id="47" w:name="howisthesecondarycontributionrate"/>
      <w:r w:rsidRPr="00C01D1A">
        <w:rPr>
          <w:sz w:val="24"/>
          <w:szCs w:val="24"/>
        </w:rPr>
        <w:t xml:space="preserve">How is the </w:t>
      </w:r>
      <w:r w:rsidR="00AC18A6" w:rsidRPr="00C01D1A">
        <w:rPr>
          <w:sz w:val="24"/>
          <w:szCs w:val="24"/>
        </w:rPr>
        <w:t>Secondary contribution rate</w:t>
      </w:r>
      <w:r w:rsidRPr="00C01D1A">
        <w:rPr>
          <w:sz w:val="24"/>
          <w:szCs w:val="24"/>
        </w:rPr>
        <w:t xml:space="preserve"> calculated?</w:t>
      </w:r>
      <w:bookmarkEnd w:id="47"/>
    </w:p>
    <w:p w14:paraId="0E306892" w14:textId="7F937E37" w:rsidR="009C453C" w:rsidRPr="00C01D1A" w:rsidRDefault="009C453C" w:rsidP="009C453C">
      <w:pPr>
        <w:pStyle w:val="BodyTextGrey"/>
        <w:rPr>
          <w:color w:val="455560"/>
          <w:sz w:val="24"/>
          <w:szCs w:val="24"/>
        </w:rPr>
      </w:pPr>
      <w:r w:rsidRPr="00C01D1A">
        <w:rPr>
          <w:color w:val="455560"/>
          <w:sz w:val="24"/>
          <w:szCs w:val="24"/>
        </w:rPr>
        <w:t xml:space="preserve">The Fund aims for the employer to have assets sufficient to meet 100% of its accrued liabilities at the end of its funding time horizon based on the employer’s funding target assumptions (see </w:t>
      </w:r>
      <w:hyperlink w:anchor="AppendixE" w:history="1">
        <w:r w:rsidRPr="00C01D1A">
          <w:rPr>
            <w:color w:val="0000FF"/>
            <w:sz w:val="24"/>
            <w:szCs w:val="24"/>
            <w:u w:val="single"/>
          </w:rPr>
          <w:t>Appendix E</w:t>
        </w:r>
      </w:hyperlink>
      <w:r w:rsidRPr="00C01D1A">
        <w:rPr>
          <w:color w:val="0000FF"/>
          <w:sz w:val="24"/>
          <w:szCs w:val="24"/>
          <w:u w:val="single"/>
        </w:rPr>
        <w:t>).</w:t>
      </w:r>
    </w:p>
    <w:p w14:paraId="7DE06083" w14:textId="5C33A397" w:rsidR="0024245C" w:rsidRPr="00C01D1A" w:rsidRDefault="0024245C" w:rsidP="006322FE">
      <w:pPr>
        <w:pStyle w:val="BodyTextGrey"/>
        <w:rPr>
          <w:sz w:val="24"/>
          <w:szCs w:val="24"/>
        </w:rPr>
      </w:pPr>
      <w:r w:rsidRPr="00C01D1A">
        <w:rPr>
          <w:sz w:val="24"/>
          <w:szCs w:val="24"/>
        </w:rPr>
        <w:t>The Secondary rate is calculated as the balance over and above the Primary rate, such that the total</w:t>
      </w:r>
      <w:r w:rsidR="009C453C" w:rsidRPr="00C01D1A">
        <w:rPr>
          <w:sz w:val="24"/>
          <w:szCs w:val="24"/>
        </w:rPr>
        <w:t xml:space="preserve"> contribution rate</w:t>
      </w:r>
      <w:r w:rsidRPr="00C01D1A">
        <w:rPr>
          <w:sz w:val="24"/>
          <w:szCs w:val="24"/>
        </w:rPr>
        <w:t xml:space="preserve"> is </w:t>
      </w:r>
      <w:r w:rsidR="00D110B6" w:rsidRPr="00C01D1A">
        <w:rPr>
          <w:sz w:val="24"/>
          <w:szCs w:val="24"/>
        </w:rPr>
        <w:t>projected</w:t>
      </w:r>
      <w:r w:rsidRPr="00C01D1A">
        <w:rPr>
          <w:sz w:val="24"/>
          <w:szCs w:val="24"/>
        </w:rPr>
        <w:t xml:space="preserve"> to:</w:t>
      </w:r>
    </w:p>
    <w:p w14:paraId="11D4753C" w14:textId="1754050E" w:rsidR="0024245C" w:rsidRPr="00C01D1A" w:rsidRDefault="00D110B6" w:rsidP="00C728B0">
      <w:pPr>
        <w:pStyle w:val="BulletHymans"/>
        <w:numPr>
          <w:ilvl w:val="0"/>
          <w:numId w:val="29"/>
        </w:numPr>
        <w:rPr>
          <w:sz w:val="24"/>
          <w:szCs w:val="24"/>
        </w:rPr>
      </w:pPr>
      <w:r w:rsidRPr="00C01D1A">
        <w:rPr>
          <w:sz w:val="24"/>
          <w:szCs w:val="24"/>
        </w:rPr>
        <w:t>meet the required funding target</w:t>
      </w:r>
      <w:r w:rsidR="00A66FE8" w:rsidRPr="00C01D1A">
        <w:rPr>
          <w:sz w:val="24"/>
          <w:szCs w:val="24"/>
        </w:rPr>
        <w:t xml:space="preserve"> relating to combined past and future service benefit accrual, including accrued asset share (see </w:t>
      </w:r>
      <w:hyperlink w:anchor="D5How_is_each_employers_asset_share_cal" w:history="1">
        <w:r w:rsidR="00A66FE8" w:rsidRPr="00C01D1A">
          <w:rPr>
            <w:rStyle w:val="Hyperlink"/>
            <w:sz w:val="24"/>
            <w:szCs w:val="24"/>
          </w:rPr>
          <w:t>D5</w:t>
        </w:r>
      </w:hyperlink>
      <w:r w:rsidR="00A66FE8" w:rsidRPr="00C01D1A">
        <w:rPr>
          <w:sz w:val="24"/>
          <w:szCs w:val="24"/>
        </w:rPr>
        <w:t xml:space="preserve"> below)</w:t>
      </w:r>
    </w:p>
    <w:p w14:paraId="62F93A1F" w14:textId="605A824B" w:rsidR="00D110B6" w:rsidRPr="00C01D1A" w:rsidRDefault="009C453C" w:rsidP="00C728B0">
      <w:pPr>
        <w:pStyle w:val="BulletHymans"/>
        <w:numPr>
          <w:ilvl w:val="0"/>
          <w:numId w:val="29"/>
        </w:numPr>
        <w:rPr>
          <w:sz w:val="24"/>
          <w:szCs w:val="24"/>
        </w:rPr>
      </w:pPr>
      <w:r w:rsidRPr="00C01D1A">
        <w:rPr>
          <w:sz w:val="24"/>
          <w:szCs w:val="24"/>
        </w:rPr>
        <w:t>at the end of</w:t>
      </w:r>
      <w:r w:rsidR="00D110B6" w:rsidRPr="00C01D1A">
        <w:rPr>
          <w:sz w:val="24"/>
          <w:szCs w:val="24"/>
        </w:rPr>
        <w:t xml:space="preserve"> the determined time horizon</w:t>
      </w:r>
      <w:r w:rsidR="00A66FE8" w:rsidRPr="00C01D1A">
        <w:rPr>
          <w:sz w:val="24"/>
          <w:szCs w:val="24"/>
        </w:rPr>
        <w:t xml:space="preserve"> (see </w:t>
      </w:r>
      <w:hyperlink w:anchor="Notec" w:history="1">
        <w:r w:rsidR="00A66FE8" w:rsidRPr="00C01D1A">
          <w:rPr>
            <w:rStyle w:val="Hyperlink"/>
            <w:sz w:val="24"/>
            <w:szCs w:val="24"/>
          </w:rPr>
          <w:t>3.3 Note (c)</w:t>
        </w:r>
      </w:hyperlink>
      <w:r w:rsidR="00A66FE8" w:rsidRPr="00C01D1A">
        <w:rPr>
          <w:sz w:val="24"/>
          <w:szCs w:val="24"/>
        </w:rPr>
        <w:t xml:space="preserve"> for further details)</w:t>
      </w:r>
    </w:p>
    <w:p w14:paraId="0F8CC8A0" w14:textId="0B456A44" w:rsidR="00D110B6" w:rsidRPr="00C01D1A" w:rsidRDefault="00D110B6" w:rsidP="00C728B0">
      <w:pPr>
        <w:pStyle w:val="BulletHymans"/>
        <w:numPr>
          <w:ilvl w:val="0"/>
          <w:numId w:val="29"/>
        </w:numPr>
        <w:rPr>
          <w:sz w:val="24"/>
          <w:szCs w:val="24"/>
        </w:rPr>
      </w:pPr>
      <w:r w:rsidRPr="00C01D1A">
        <w:rPr>
          <w:sz w:val="24"/>
          <w:szCs w:val="24"/>
        </w:rPr>
        <w:t xml:space="preserve">with a sufficiently high </w:t>
      </w:r>
      <w:r w:rsidR="009C453C" w:rsidRPr="00C01D1A">
        <w:rPr>
          <w:sz w:val="24"/>
          <w:szCs w:val="24"/>
        </w:rPr>
        <w:t>likelihood</w:t>
      </w:r>
      <w:r w:rsidRPr="00C01D1A">
        <w:rPr>
          <w:sz w:val="24"/>
          <w:szCs w:val="24"/>
        </w:rPr>
        <w:t xml:space="preserve">, as set by the Fund’s strategy for the category of employer (see </w:t>
      </w:r>
      <w:hyperlink w:anchor="Notee" w:history="1">
        <w:r w:rsidRPr="00C01D1A">
          <w:rPr>
            <w:rStyle w:val="Hyperlink"/>
            <w:sz w:val="24"/>
            <w:szCs w:val="24"/>
          </w:rPr>
          <w:t>3.3 Note (e)</w:t>
        </w:r>
      </w:hyperlink>
      <w:r w:rsidRPr="00C01D1A">
        <w:rPr>
          <w:sz w:val="24"/>
          <w:szCs w:val="24"/>
        </w:rPr>
        <w:t xml:space="preserve"> for further details).</w:t>
      </w:r>
    </w:p>
    <w:p w14:paraId="6CEE6856" w14:textId="672C4529" w:rsidR="00D110B6" w:rsidRPr="00C01D1A" w:rsidRDefault="00D110B6" w:rsidP="00D110B6">
      <w:pPr>
        <w:pStyle w:val="BodyTextGrey"/>
        <w:rPr>
          <w:sz w:val="24"/>
          <w:szCs w:val="24"/>
        </w:rPr>
      </w:pPr>
      <w:r w:rsidRPr="00C01D1A">
        <w:rPr>
          <w:sz w:val="24"/>
          <w:szCs w:val="24"/>
        </w:rPr>
        <w:t xml:space="preserve">The projections are carried out using an economic modeller </w:t>
      </w:r>
      <w:r w:rsidR="009C453C" w:rsidRPr="00C01D1A">
        <w:rPr>
          <w:sz w:val="24"/>
          <w:szCs w:val="24"/>
        </w:rPr>
        <w:t xml:space="preserve">(the “Economic Scenario Service”) </w:t>
      </w:r>
      <w:r w:rsidRPr="00C01D1A">
        <w:rPr>
          <w:sz w:val="24"/>
          <w:szCs w:val="24"/>
        </w:rPr>
        <w:t xml:space="preserve">developed by the Fund Actuary Hymans Robertson: this allows for a wide range of outcomes as regards key factors such as asset returns (based on the Fund’s investment strategy), inflation, and bond yields. </w:t>
      </w:r>
      <w:r w:rsidR="009C453C" w:rsidRPr="00C01D1A">
        <w:rPr>
          <w:sz w:val="24"/>
          <w:szCs w:val="24"/>
        </w:rPr>
        <w:t xml:space="preserve">Further information about this model is included in </w:t>
      </w:r>
      <w:hyperlink w:anchor="AppendixE" w:history="1">
        <w:r w:rsidR="009C453C" w:rsidRPr="00C01D1A">
          <w:rPr>
            <w:rStyle w:val="Hyperlink"/>
            <w:sz w:val="24"/>
            <w:szCs w:val="24"/>
          </w:rPr>
          <w:t>Appendix E</w:t>
        </w:r>
      </w:hyperlink>
      <w:r w:rsidR="009C453C" w:rsidRPr="00C01D1A">
        <w:rPr>
          <w:sz w:val="24"/>
          <w:szCs w:val="24"/>
        </w:rPr>
        <w:t xml:space="preserve">. </w:t>
      </w:r>
      <w:r w:rsidRPr="00C01D1A">
        <w:rPr>
          <w:sz w:val="24"/>
          <w:szCs w:val="24"/>
        </w:rPr>
        <w:t xml:space="preserve">The measured contributions are calculated such that the proportion of outcomes </w:t>
      </w:r>
      <w:r w:rsidR="006D1A56" w:rsidRPr="00C01D1A">
        <w:rPr>
          <w:sz w:val="24"/>
          <w:szCs w:val="24"/>
        </w:rPr>
        <w:t xml:space="preserve">meeting the employer’s funding target </w:t>
      </w:r>
      <w:r w:rsidRPr="00C01D1A">
        <w:rPr>
          <w:sz w:val="24"/>
          <w:szCs w:val="24"/>
        </w:rPr>
        <w:t>(</w:t>
      </w:r>
      <w:r w:rsidR="006D1A56" w:rsidRPr="00C01D1A">
        <w:rPr>
          <w:sz w:val="24"/>
          <w:szCs w:val="24"/>
        </w:rPr>
        <w:t xml:space="preserve">at </w:t>
      </w:r>
      <w:r w:rsidRPr="00C01D1A">
        <w:rPr>
          <w:sz w:val="24"/>
          <w:szCs w:val="24"/>
        </w:rPr>
        <w:t xml:space="preserve">the end of the time horizon) is equal to the required </w:t>
      </w:r>
      <w:r w:rsidR="006D1A56" w:rsidRPr="00C01D1A">
        <w:rPr>
          <w:sz w:val="24"/>
          <w:szCs w:val="24"/>
        </w:rPr>
        <w:t>likelihood</w:t>
      </w:r>
      <w:r w:rsidRPr="00C01D1A">
        <w:rPr>
          <w:sz w:val="24"/>
          <w:szCs w:val="24"/>
        </w:rPr>
        <w:t xml:space="preserve">. </w:t>
      </w:r>
    </w:p>
    <w:p w14:paraId="27BD7DD2" w14:textId="77777777" w:rsidR="006322FE" w:rsidRPr="00C01D1A" w:rsidRDefault="006322FE" w:rsidP="006322FE">
      <w:pPr>
        <w:pStyle w:val="Appendix2"/>
        <w:rPr>
          <w:sz w:val="24"/>
          <w:szCs w:val="24"/>
        </w:rPr>
      </w:pPr>
      <w:r w:rsidRPr="00C01D1A">
        <w:rPr>
          <w:sz w:val="24"/>
          <w:szCs w:val="24"/>
        </w:rPr>
        <w:t>D4</w:t>
      </w:r>
      <w:r w:rsidRPr="00C01D1A">
        <w:rPr>
          <w:sz w:val="24"/>
          <w:szCs w:val="24"/>
        </w:rPr>
        <w:tab/>
        <w:t>What affects a given employer’s valuation results?</w:t>
      </w:r>
    </w:p>
    <w:p w14:paraId="2B909A89" w14:textId="77777777" w:rsidR="006322FE" w:rsidRPr="00C01D1A" w:rsidRDefault="006322FE" w:rsidP="006322FE">
      <w:pPr>
        <w:pStyle w:val="BodyTextGrey"/>
        <w:rPr>
          <w:sz w:val="24"/>
          <w:szCs w:val="24"/>
        </w:rPr>
      </w:pPr>
      <w:r w:rsidRPr="00C01D1A">
        <w:rPr>
          <w:sz w:val="24"/>
          <w:szCs w:val="24"/>
        </w:rPr>
        <w:t>The results of these calculations for a given individual employer will be affected by:</w:t>
      </w:r>
    </w:p>
    <w:p w14:paraId="65854AEA" w14:textId="77777777" w:rsidR="006322FE" w:rsidRPr="00C01D1A" w:rsidRDefault="006322FE" w:rsidP="00C728B0">
      <w:pPr>
        <w:pStyle w:val="BulletHymans"/>
        <w:numPr>
          <w:ilvl w:val="0"/>
          <w:numId w:val="52"/>
        </w:numPr>
        <w:rPr>
          <w:sz w:val="24"/>
          <w:szCs w:val="24"/>
        </w:rPr>
      </w:pPr>
      <w:r w:rsidRPr="00C01D1A">
        <w:rPr>
          <w:sz w:val="24"/>
          <w:szCs w:val="24"/>
        </w:rPr>
        <w:t xml:space="preserve">past contributions relative to the cost of accruals of benefits;  </w:t>
      </w:r>
    </w:p>
    <w:p w14:paraId="4597E858" w14:textId="77777777" w:rsidR="006322FE" w:rsidRPr="00C01D1A" w:rsidRDefault="006322FE" w:rsidP="00C728B0">
      <w:pPr>
        <w:pStyle w:val="BulletHymans"/>
        <w:numPr>
          <w:ilvl w:val="0"/>
          <w:numId w:val="52"/>
        </w:numPr>
        <w:rPr>
          <w:sz w:val="24"/>
          <w:szCs w:val="24"/>
        </w:rPr>
      </w:pPr>
      <w:r w:rsidRPr="00C01D1A">
        <w:rPr>
          <w:sz w:val="24"/>
          <w:szCs w:val="24"/>
        </w:rPr>
        <w:t xml:space="preserve">different liability profiles of employers (e.g. mix of members by age, gender, service </w:t>
      </w:r>
      <w:r w:rsidR="003A11C3" w:rsidRPr="00C01D1A">
        <w:rPr>
          <w:sz w:val="24"/>
          <w:szCs w:val="24"/>
        </w:rPr>
        <w:t>vs.</w:t>
      </w:r>
      <w:r w:rsidRPr="00C01D1A">
        <w:rPr>
          <w:sz w:val="24"/>
          <w:szCs w:val="24"/>
        </w:rPr>
        <w:t xml:space="preserve"> salary);</w:t>
      </w:r>
    </w:p>
    <w:p w14:paraId="6FB9630A" w14:textId="2532C301" w:rsidR="006322FE" w:rsidRPr="00C01D1A" w:rsidRDefault="006322FE" w:rsidP="00C728B0">
      <w:pPr>
        <w:pStyle w:val="BulletHymans"/>
        <w:numPr>
          <w:ilvl w:val="0"/>
          <w:numId w:val="52"/>
        </w:numPr>
        <w:rPr>
          <w:sz w:val="24"/>
          <w:szCs w:val="24"/>
        </w:rPr>
      </w:pPr>
      <w:r w:rsidRPr="00C01D1A">
        <w:rPr>
          <w:sz w:val="24"/>
          <w:szCs w:val="24"/>
        </w:rPr>
        <w:t xml:space="preserve">the effect of any differences in the </w:t>
      </w:r>
      <w:r w:rsidR="005D4C20" w:rsidRPr="00C01D1A">
        <w:rPr>
          <w:sz w:val="24"/>
          <w:szCs w:val="24"/>
        </w:rPr>
        <w:t xml:space="preserve">funding target, i.e. the </w:t>
      </w:r>
      <w:r w:rsidRPr="00C01D1A">
        <w:rPr>
          <w:sz w:val="24"/>
          <w:szCs w:val="24"/>
        </w:rPr>
        <w:t xml:space="preserve">valuation basis </w:t>
      </w:r>
      <w:r w:rsidR="00553810" w:rsidRPr="00C01D1A">
        <w:rPr>
          <w:sz w:val="24"/>
          <w:szCs w:val="24"/>
        </w:rPr>
        <w:t>used to</w:t>
      </w:r>
      <w:r w:rsidRPr="00C01D1A">
        <w:rPr>
          <w:sz w:val="24"/>
          <w:szCs w:val="24"/>
        </w:rPr>
        <w:t xml:space="preserve"> value the employer’s liabilities</w:t>
      </w:r>
      <w:r w:rsidR="006D1A56" w:rsidRPr="00C01D1A">
        <w:rPr>
          <w:sz w:val="24"/>
          <w:szCs w:val="24"/>
        </w:rPr>
        <w:t xml:space="preserve"> at the end of the time horizon</w:t>
      </w:r>
      <w:r w:rsidRPr="00C01D1A">
        <w:rPr>
          <w:sz w:val="24"/>
          <w:szCs w:val="24"/>
        </w:rPr>
        <w:t xml:space="preserve">; </w:t>
      </w:r>
    </w:p>
    <w:p w14:paraId="36196621" w14:textId="059D712A" w:rsidR="006322FE" w:rsidRPr="00C01D1A" w:rsidRDefault="006322FE" w:rsidP="00C728B0">
      <w:pPr>
        <w:pStyle w:val="BulletHymans"/>
        <w:numPr>
          <w:ilvl w:val="0"/>
          <w:numId w:val="52"/>
        </w:numPr>
        <w:rPr>
          <w:sz w:val="24"/>
          <w:szCs w:val="24"/>
        </w:rPr>
      </w:pPr>
      <w:r w:rsidRPr="00C01D1A">
        <w:rPr>
          <w:sz w:val="24"/>
          <w:szCs w:val="24"/>
        </w:rPr>
        <w:lastRenderedPageBreak/>
        <w:t xml:space="preserve">any different </w:t>
      </w:r>
      <w:r w:rsidR="005D4C20" w:rsidRPr="00C01D1A">
        <w:rPr>
          <w:sz w:val="24"/>
          <w:szCs w:val="24"/>
        </w:rPr>
        <w:t>time horizons</w:t>
      </w:r>
      <w:r w:rsidRPr="00C01D1A">
        <w:rPr>
          <w:sz w:val="24"/>
          <w:szCs w:val="24"/>
        </w:rPr>
        <w:t xml:space="preserve">;  </w:t>
      </w:r>
    </w:p>
    <w:p w14:paraId="076FBE42" w14:textId="77777777" w:rsidR="006322FE" w:rsidRPr="00C01D1A" w:rsidRDefault="006322FE" w:rsidP="00C728B0">
      <w:pPr>
        <w:pStyle w:val="BulletHymans"/>
        <w:numPr>
          <w:ilvl w:val="0"/>
          <w:numId w:val="53"/>
        </w:numPr>
        <w:rPr>
          <w:sz w:val="24"/>
          <w:szCs w:val="24"/>
        </w:rPr>
      </w:pPr>
      <w:r w:rsidRPr="00C01D1A">
        <w:rPr>
          <w:sz w:val="24"/>
          <w:szCs w:val="24"/>
        </w:rPr>
        <w:t>the difference between actual and assumed rises in pensionable pay;</w:t>
      </w:r>
    </w:p>
    <w:p w14:paraId="64E29B47" w14:textId="77777777" w:rsidR="006322FE" w:rsidRPr="00C01D1A" w:rsidRDefault="006322FE" w:rsidP="00C728B0">
      <w:pPr>
        <w:pStyle w:val="BulletHymans"/>
        <w:numPr>
          <w:ilvl w:val="0"/>
          <w:numId w:val="53"/>
        </w:numPr>
        <w:rPr>
          <w:sz w:val="24"/>
          <w:szCs w:val="24"/>
        </w:rPr>
      </w:pPr>
      <w:r w:rsidRPr="00C01D1A">
        <w:rPr>
          <w:sz w:val="24"/>
          <w:szCs w:val="24"/>
        </w:rPr>
        <w:t>the difference between actual and assumed increases to pensions in payment and deferred pensions;</w:t>
      </w:r>
    </w:p>
    <w:p w14:paraId="646BE090" w14:textId="77777777" w:rsidR="006322FE" w:rsidRPr="00C01D1A" w:rsidRDefault="006322FE" w:rsidP="00C728B0">
      <w:pPr>
        <w:pStyle w:val="BulletHymans"/>
        <w:numPr>
          <w:ilvl w:val="0"/>
          <w:numId w:val="53"/>
        </w:numPr>
        <w:rPr>
          <w:sz w:val="24"/>
          <w:szCs w:val="24"/>
        </w:rPr>
      </w:pPr>
      <w:r w:rsidRPr="00C01D1A">
        <w:rPr>
          <w:sz w:val="24"/>
          <w:szCs w:val="24"/>
        </w:rPr>
        <w:t xml:space="preserve">the difference between actual and assumed retirements on grounds of ill-health from active status; </w:t>
      </w:r>
    </w:p>
    <w:p w14:paraId="1992D220" w14:textId="77777777" w:rsidR="006322FE" w:rsidRPr="00C01D1A" w:rsidRDefault="006322FE" w:rsidP="00C728B0">
      <w:pPr>
        <w:pStyle w:val="BulletHymans"/>
        <w:numPr>
          <w:ilvl w:val="0"/>
          <w:numId w:val="53"/>
        </w:numPr>
        <w:rPr>
          <w:sz w:val="24"/>
          <w:szCs w:val="24"/>
        </w:rPr>
      </w:pPr>
      <w:r w:rsidRPr="00C01D1A">
        <w:rPr>
          <w:sz w:val="24"/>
          <w:szCs w:val="24"/>
        </w:rPr>
        <w:t>the difference between actual and assumed amounts of pension ceasing on death;</w:t>
      </w:r>
    </w:p>
    <w:p w14:paraId="3093D8FD" w14:textId="68408AC8" w:rsidR="006322FE" w:rsidRPr="00C01D1A" w:rsidRDefault="006322FE" w:rsidP="00C728B0">
      <w:pPr>
        <w:pStyle w:val="BulletHymans"/>
        <w:numPr>
          <w:ilvl w:val="0"/>
          <w:numId w:val="53"/>
        </w:numPr>
        <w:rPr>
          <w:sz w:val="24"/>
          <w:szCs w:val="24"/>
        </w:rPr>
      </w:pPr>
      <w:r w:rsidRPr="00C01D1A">
        <w:rPr>
          <w:sz w:val="24"/>
          <w:szCs w:val="24"/>
        </w:rPr>
        <w:t xml:space="preserve">the additional costs of any </w:t>
      </w:r>
      <w:proofErr w:type="spellStart"/>
      <w:r w:rsidRPr="00C01D1A">
        <w:rPr>
          <w:sz w:val="24"/>
          <w:szCs w:val="24"/>
        </w:rPr>
        <w:t>non ill-health</w:t>
      </w:r>
      <w:proofErr w:type="spellEnd"/>
      <w:r w:rsidRPr="00C01D1A">
        <w:rPr>
          <w:sz w:val="24"/>
          <w:szCs w:val="24"/>
        </w:rPr>
        <w:t xml:space="preserve"> retirements relative to any extra payments made;</w:t>
      </w:r>
      <w:r w:rsidR="00553810" w:rsidRPr="00C01D1A">
        <w:rPr>
          <w:sz w:val="24"/>
          <w:szCs w:val="24"/>
        </w:rPr>
        <w:t xml:space="preserve"> and/or</w:t>
      </w:r>
    </w:p>
    <w:p w14:paraId="32F820B4" w14:textId="28661324" w:rsidR="006322FE" w:rsidRPr="00C01D1A" w:rsidRDefault="005D4C20" w:rsidP="00C728B0">
      <w:pPr>
        <w:pStyle w:val="BodyTextGrey"/>
        <w:numPr>
          <w:ilvl w:val="0"/>
          <w:numId w:val="53"/>
        </w:numPr>
        <w:rPr>
          <w:sz w:val="24"/>
          <w:szCs w:val="24"/>
        </w:rPr>
      </w:pPr>
      <w:r w:rsidRPr="00C01D1A">
        <w:rPr>
          <w:sz w:val="24"/>
          <w:szCs w:val="24"/>
        </w:rPr>
        <w:t>differences in the required</w:t>
      </w:r>
      <w:r w:rsidR="006D1A56" w:rsidRPr="00C01D1A">
        <w:rPr>
          <w:sz w:val="24"/>
          <w:szCs w:val="24"/>
        </w:rPr>
        <w:t xml:space="preserve"> likelihood</w:t>
      </w:r>
      <w:r w:rsidRPr="00C01D1A">
        <w:rPr>
          <w:sz w:val="24"/>
          <w:szCs w:val="24"/>
        </w:rPr>
        <w:t xml:space="preserve"> of achieving the funding target</w:t>
      </w:r>
      <w:r w:rsidR="006322FE" w:rsidRPr="00C01D1A">
        <w:rPr>
          <w:sz w:val="24"/>
          <w:szCs w:val="24"/>
        </w:rPr>
        <w:t>.</w:t>
      </w:r>
    </w:p>
    <w:p w14:paraId="2E9F4D30" w14:textId="77777777" w:rsidR="006D1A56" w:rsidRPr="00535194" w:rsidRDefault="006D1A56" w:rsidP="00535194">
      <w:pPr>
        <w:pStyle w:val="Appendix2"/>
        <w:rPr>
          <w:b w:val="0"/>
          <w:sz w:val="24"/>
          <w:szCs w:val="24"/>
        </w:rPr>
      </w:pPr>
      <w:bookmarkStart w:id="48" w:name="_Toc16078840"/>
      <w:r w:rsidRPr="00535194">
        <w:rPr>
          <w:sz w:val="24"/>
          <w:szCs w:val="24"/>
        </w:rPr>
        <w:t>D5</w:t>
      </w:r>
      <w:bookmarkStart w:id="49" w:name="_Hlk20299596"/>
      <w:r w:rsidRPr="00535194">
        <w:rPr>
          <w:sz w:val="24"/>
          <w:szCs w:val="24"/>
        </w:rPr>
        <w:tab/>
        <w:t>How is each employer’s asset share calculated?</w:t>
      </w:r>
      <w:bookmarkEnd w:id="48"/>
    </w:p>
    <w:p w14:paraId="3060F9DD" w14:textId="77777777" w:rsidR="006D1A56" w:rsidRPr="00535194" w:rsidRDefault="006D1A56" w:rsidP="006D1A56">
      <w:pPr>
        <w:spacing w:after="200"/>
        <w:jc w:val="left"/>
        <w:rPr>
          <w:color w:val="455560"/>
          <w:sz w:val="24"/>
          <w:szCs w:val="24"/>
          <w:lang w:eastAsia="en-US"/>
        </w:rPr>
      </w:pPr>
      <w:r w:rsidRPr="00535194">
        <w:rPr>
          <w:color w:val="455560"/>
          <w:sz w:val="24"/>
          <w:szCs w:val="24"/>
          <w:lang w:eastAsia="en-US"/>
        </w:rPr>
        <w:t>The Administering Authority does not operate separate bank accounts or investment mandates for each employer.  Therefore it cannot account for each employer’s assets separately. Instead, the Fund Actuary must apportion the assets of the whole Fund between the individual employers. There are broadly two ways to do this:</w:t>
      </w:r>
    </w:p>
    <w:p w14:paraId="135E5B72" w14:textId="146575FC" w:rsidR="006D1A56" w:rsidRPr="00535194" w:rsidRDefault="006D1A56" w:rsidP="006D1A56">
      <w:pPr>
        <w:numPr>
          <w:ilvl w:val="0"/>
          <w:numId w:val="63"/>
        </w:numPr>
        <w:spacing w:after="200"/>
        <w:jc w:val="left"/>
        <w:rPr>
          <w:color w:val="455560"/>
          <w:sz w:val="24"/>
          <w:szCs w:val="24"/>
          <w:lang w:eastAsia="en-US"/>
        </w:rPr>
      </w:pPr>
      <w:r w:rsidRPr="00535194">
        <w:rPr>
          <w:color w:val="455560"/>
          <w:sz w:val="24"/>
          <w:szCs w:val="24"/>
          <w:lang w:eastAsia="en-US"/>
        </w:rPr>
        <w:t>A technique known as “analysis of surplus” in which the Fund actuary estimates the surplus/deficit of an employer at the current valuation date by analysing</w:t>
      </w:r>
      <w:r w:rsidR="00690EA0" w:rsidRPr="00535194">
        <w:rPr>
          <w:color w:val="455560"/>
          <w:sz w:val="24"/>
          <w:szCs w:val="24"/>
          <w:lang w:eastAsia="en-US"/>
        </w:rPr>
        <w:t xml:space="preserve"> </w:t>
      </w:r>
      <w:r w:rsidRPr="00535194">
        <w:rPr>
          <w:color w:val="455560"/>
          <w:sz w:val="24"/>
          <w:szCs w:val="24"/>
          <w:lang w:eastAsia="en-US"/>
        </w:rPr>
        <w:t>movements in the surplus/deficit from the previous actuarial valuation date. The estimated surplus/deficit is compared to the employer’s liability value to calculate the employer’s asset value. The actuary will quantify the impact of investment, membership and other experience to analyse the movement in the surplus/deficit. This technique makes a number of simplifying assumptions due to the unavailability of certain items of information. This leads to a balancing, or miscellaneous, item in the analysis of surplus, which is split between employers in proportion to their asset shares.</w:t>
      </w:r>
    </w:p>
    <w:p w14:paraId="25E6D4D2" w14:textId="77777777" w:rsidR="006D1A56" w:rsidRPr="00535194" w:rsidRDefault="006D1A56" w:rsidP="006D1A56">
      <w:pPr>
        <w:numPr>
          <w:ilvl w:val="0"/>
          <w:numId w:val="63"/>
        </w:numPr>
        <w:spacing w:after="200"/>
        <w:jc w:val="left"/>
        <w:rPr>
          <w:color w:val="455560"/>
          <w:sz w:val="24"/>
          <w:szCs w:val="24"/>
          <w:lang w:eastAsia="en-US"/>
        </w:rPr>
      </w:pPr>
      <w:r w:rsidRPr="00535194">
        <w:rPr>
          <w:color w:val="455560"/>
          <w:sz w:val="24"/>
          <w:szCs w:val="24"/>
          <w:lang w:eastAsia="en-US"/>
        </w:rPr>
        <w:t xml:space="preserve">A ‘cashflow approach’ in which an employer’s assets are tracked over time allowing for cashflows paid in (contributions, transfers in etc.), cashflows paid out (benefit payments, transfers out etc.) and investment returns on the employer’s assets. </w:t>
      </w:r>
    </w:p>
    <w:p w14:paraId="237F3CCE" w14:textId="77777777" w:rsidR="006D1A56" w:rsidRPr="00535194" w:rsidRDefault="006D1A56" w:rsidP="006D1A56">
      <w:pPr>
        <w:spacing w:after="200"/>
        <w:jc w:val="left"/>
        <w:rPr>
          <w:color w:val="455560"/>
          <w:sz w:val="24"/>
          <w:szCs w:val="24"/>
          <w:lang w:eastAsia="en-US"/>
        </w:rPr>
      </w:pPr>
      <w:r w:rsidRPr="00535194">
        <w:rPr>
          <w:color w:val="455560"/>
          <w:sz w:val="24"/>
          <w:szCs w:val="24"/>
          <w:lang w:eastAsia="en-US"/>
        </w:rPr>
        <w:t xml:space="preserve">Until 31 March [2016] the Administering Authority used the ‘analysis of surplus’ approach to apportion the Fund’s assets between individual employers. </w:t>
      </w:r>
    </w:p>
    <w:p w14:paraId="634C6D5F" w14:textId="77777777" w:rsidR="006D1A56" w:rsidRPr="00535194" w:rsidRDefault="006D1A56" w:rsidP="006D1A56">
      <w:pPr>
        <w:spacing w:after="200"/>
        <w:jc w:val="left"/>
        <w:rPr>
          <w:color w:val="455560"/>
          <w:sz w:val="24"/>
          <w:szCs w:val="24"/>
          <w:lang w:eastAsia="en-US"/>
        </w:rPr>
      </w:pPr>
      <w:r w:rsidRPr="00535194">
        <w:rPr>
          <w:color w:val="455560"/>
          <w:sz w:val="24"/>
          <w:szCs w:val="24"/>
          <w:lang w:eastAsia="en-US"/>
        </w:rPr>
        <w:t>Since then, the Fund has adopted a cashflow approach for tracking individual employer assets.</w:t>
      </w:r>
    </w:p>
    <w:p w14:paraId="3164CDB6" w14:textId="77777777" w:rsidR="006D1A56" w:rsidRPr="00535194" w:rsidRDefault="006D1A56" w:rsidP="006D1A56">
      <w:pPr>
        <w:spacing w:after="200"/>
        <w:jc w:val="left"/>
        <w:rPr>
          <w:color w:val="455560"/>
          <w:sz w:val="24"/>
          <w:szCs w:val="24"/>
          <w:lang w:eastAsia="en-US"/>
        </w:rPr>
      </w:pPr>
      <w:r w:rsidRPr="00535194">
        <w:rPr>
          <w:color w:val="455560"/>
          <w:sz w:val="24"/>
          <w:szCs w:val="24"/>
          <w:lang w:eastAsia="en-US"/>
        </w:rPr>
        <w:t xml:space="preserve">The Fund Actuary tracks employer assets on an annual basis. Starting with each employer’s assets from the previous year end, cashflows paid in/out and investment returns achieved on the Fund’s assets over the course of the year are added to calculate an asset value at the year end. The approach has some simplifying assumptions in that all cashflows and investment returns are assumed to have occurred uniformly over the course of the year. As the actual timing of cashflows and investment returns are not allowed for, the sum of all employers’ asset values will deviate from the whole fund asset total over time (the deviation is expected to be minor). The difference is split between employers in proportion to their asset shares at each triennial valuation. </w:t>
      </w:r>
    </w:p>
    <w:p w14:paraId="22FC8D44" w14:textId="77777777" w:rsidR="006D1A56" w:rsidRPr="00535194" w:rsidRDefault="006D1A56" w:rsidP="006D1A56">
      <w:pPr>
        <w:spacing w:after="200"/>
        <w:jc w:val="left"/>
        <w:rPr>
          <w:color w:val="455560"/>
          <w:sz w:val="24"/>
          <w:szCs w:val="24"/>
          <w:lang w:eastAsia="en-US"/>
        </w:rPr>
      </w:pPr>
      <w:r w:rsidRPr="00535194">
        <w:rPr>
          <w:color w:val="455560"/>
          <w:sz w:val="24"/>
          <w:szCs w:val="24"/>
          <w:lang w:eastAsia="en-US"/>
        </w:rPr>
        <w:lastRenderedPageBreak/>
        <w:t>The Fund is satisfied that this new approach provides the most accurate asset allocations between employers that is reasonably possible at present.</w:t>
      </w:r>
    </w:p>
    <w:bookmarkEnd w:id="49"/>
    <w:p w14:paraId="4DC4341B" w14:textId="77777777" w:rsidR="006D1A56" w:rsidRPr="00535194" w:rsidRDefault="006D1A56" w:rsidP="006D1A56">
      <w:pPr>
        <w:spacing w:after="200"/>
        <w:jc w:val="left"/>
        <w:rPr>
          <w:b/>
          <w:color w:val="F06A00" w:themeColor="accent1"/>
          <w:sz w:val="24"/>
          <w:szCs w:val="24"/>
          <w:lang w:eastAsia="en-US"/>
        </w:rPr>
      </w:pPr>
      <w:r w:rsidRPr="00535194">
        <w:rPr>
          <w:b/>
          <w:color w:val="F06A00" w:themeColor="accent1"/>
          <w:sz w:val="24"/>
          <w:szCs w:val="24"/>
          <w:lang w:eastAsia="en-US"/>
        </w:rPr>
        <w:t>D6 How does the Fund adjust employer asset shares when an individual member moves from one employer in the Fund to another?</w:t>
      </w:r>
    </w:p>
    <w:p w14:paraId="7B0FD7CE" w14:textId="77777777" w:rsidR="006D1A56" w:rsidRPr="00535194" w:rsidRDefault="006D1A56" w:rsidP="006D1A56">
      <w:pPr>
        <w:spacing w:after="200"/>
        <w:jc w:val="left"/>
        <w:rPr>
          <w:color w:val="455560"/>
          <w:sz w:val="24"/>
          <w:szCs w:val="24"/>
          <w:lang w:eastAsia="en-US"/>
        </w:rPr>
      </w:pPr>
      <w:r w:rsidRPr="00535194">
        <w:rPr>
          <w:color w:val="455560"/>
          <w:sz w:val="24"/>
          <w:szCs w:val="24"/>
          <w:lang w:eastAsia="en-US"/>
        </w:rPr>
        <w:t>Under the cashflow approach for tracking employer asset shares, the Fund has allowed for any individual members transferring from one employer in the Fund to another, via the transfer of a sum from the ceding employer’s asset share to the receiving employer’s asset share. This sum is equal to the member’s Cash Equivalent Transfer Value (CETV) as advised by the Fund’s administrators.</w:t>
      </w:r>
    </w:p>
    <w:p w14:paraId="29D6FE89" w14:textId="77777777" w:rsidR="006D1A56" w:rsidRPr="006D1A56" w:rsidRDefault="006D1A56" w:rsidP="006D1A56">
      <w:pPr>
        <w:spacing w:after="200"/>
        <w:jc w:val="left"/>
        <w:rPr>
          <w:color w:val="455560"/>
          <w:lang w:eastAsia="en-US"/>
        </w:rPr>
      </w:pPr>
    </w:p>
    <w:p w14:paraId="431D42DA" w14:textId="77777777" w:rsidR="008835D4" w:rsidRDefault="008835D4" w:rsidP="008835D4">
      <w:pPr>
        <w:pStyle w:val="Appendix1"/>
      </w:pPr>
      <w:bookmarkStart w:id="50" w:name="_Toc357155096"/>
      <w:bookmarkStart w:id="51" w:name="AppendixE"/>
      <w:r>
        <w:lastRenderedPageBreak/>
        <w:t>Appendix E – Actuarial assumptions</w:t>
      </w:r>
      <w:bookmarkEnd w:id="50"/>
    </w:p>
    <w:bookmarkEnd w:id="51"/>
    <w:p w14:paraId="549A77FD" w14:textId="31541F12" w:rsidR="008835D4" w:rsidRPr="00535194" w:rsidRDefault="008835D4" w:rsidP="008835D4">
      <w:pPr>
        <w:pStyle w:val="Appendix2"/>
        <w:rPr>
          <w:sz w:val="24"/>
          <w:szCs w:val="24"/>
        </w:rPr>
      </w:pPr>
      <w:r w:rsidRPr="00535194">
        <w:rPr>
          <w:sz w:val="24"/>
          <w:szCs w:val="24"/>
        </w:rPr>
        <w:t>E1</w:t>
      </w:r>
      <w:r w:rsidRPr="00535194">
        <w:rPr>
          <w:sz w:val="24"/>
          <w:szCs w:val="24"/>
        </w:rPr>
        <w:tab/>
        <w:t>What are the actuarial assumptions</w:t>
      </w:r>
      <w:r w:rsidR="006D1A56" w:rsidRPr="00535194">
        <w:rPr>
          <w:sz w:val="24"/>
          <w:szCs w:val="24"/>
        </w:rPr>
        <w:t xml:space="preserve"> used to calculate employer contribution rates</w:t>
      </w:r>
      <w:r w:rsidRPr="00535194">
        <w:rPr>
          <w:sz w:val="24"/>
          <w:szCs w:val="24"/>
        </w:rPr>
        <w:t>?</w:t>
      </w:r>
    </w:p>
    <w:p w14:paraId="44FA1A19" w14:textId="44A102A8" w:rsidR="00E34076" w:rsidRPr="00535194" w:rsidRDefault="004F3E00" w:rsidP="004F3E00">
      <w:pPr>
        <w:pStyle w:val="BodyTextGrey"/>
        <w:rPr>
          <w:sz w:val="24"/>
          <w:szCs w:val="24"/>
        </w:rPr>
      </w:pPr>
      <w:r w:rsidRPr="00535194">
        <w:rPr>
          <w:sz w:val="24"/>
          <w:szCs w:val="24"/>
        </w:rPr>
        <w:t xml:space="preserve">These are expectations of future experience </w:t>
      </w:r>
      <w:r w:rsidR="00E34076" w:rsidRPr="00535194">
        <w:rPr>
          <w:sz w:val="24"/>
          <w:szCs w:val="24"/>
        </w:rPr>
        <w:t>used to place a value on future benefit payments (“the liabilities”)</w:t>
      </w:r>
      <w:r w:rsidRPr="00535194">
        <w:rPr>
          <w:sz w:val="24"/>
          <w:szCs w:val="24"/>
        </w:rPr>
        <w:t>.</w:t>
      </w:r>
      <w:r w:rsidR="00E34076" w:rsidRPr="00535194">
        <w:rPr>
          <w:sz w:val="24"/>
          <w:szCs w:val="24"/>
        </w:rPr>
        <w:t xml:space="preserve"> </w:t>
      </w:r>
      <w:r w:rsidR="006D1A56" w:rsidRPr="00535194">
        <w:rPr>
          <w:sz w:val="24"/>
          <w:szCs w:val="24"/>
        </w:rPr>
        <w:t xml:space="preserve">and future asset values.  </w:t>
      </w:r>
      <w:r w:rsidR="00E34076" w:rsidRPr="00535194">
        <w:rPr>
          <w:sz w:val="24"/>
          <w:szCs w:val="24"/>
        </w:rPr>
        <w:t xml:space="preserve">Assumptions are made about the amount of benefit payable to members (the financial assumptions) and the likelihood or timing of payments (the demographic assumptions). </w:t>
      </w:r>
      <w:r w:rsidR="00F36A18" w:rsidRPr="00535194">
        <w:rPr>
          <w:sz w:val="24"/>
          <w:szCs w:val="24"/>
        </w:rPr>
        <w:t xml:space="preserve"> </w:t>
      </w:r>
      <w:r w:rsidR="00E34076" w:rsidRPr="00535194">
        <w:rPr>
          <w:sz w:val="24"/>
          <w:szCs w:val="24"/>
        </w:rPr>
        <w:t xml:space="preserve">For example, financial assumptions include investment returns, salary growth and pension increases; demographic assumptions include life expectancy, probabilities of ill-health early retirement, and proportions of member deaths giving rise to dependants’ benefits. </w:t>
      </w:r>
      <w:r w:rsidRPr="00535194">
        <w:rPr>
          <w:sz w:val="24"/>
          <w:szCs w:val="24"/>
        </w:rPr>
        <w:t xml:space="preserve"> </w:t>
      </w:r>
    </w:p>
    <w:p w14:paraId="49C80E38" w14:textId="1CBA390B" w:rsidR="004F3E00" w:rsidRPr="00535194" w:rsidRDefault="004F3E00" w:rsidP="004F3E00">
      <w:pPr>
        <w:pStyle w:val="BodyTextGrey"/>
        <w:rPr>
          <w:sz w:val="24"/>
          <w:szCs w:val="24"/>
        </w:rPr>
      </w:pPr>
      <w:r w:rsidRPr="00535194">
        <w:rPr>
          <w:sz w:val="24"/>
          <w:szCs w:val="24"/>
        </w:rPr>
        <w:t xml:space="preserve">Changes in assumptions will affect the </w:t>
      </w:r>
      <w:r w:rsidR="005D4C20" w:rsidRPr="00535194">
        <w:rPr>
          <w:sz w:val="24"/>
          <w:szCs w:val="24"/>
        </w:rPr>
        <w:t>funding target</w:t>
      </w:r>
      <w:r w:rsidR="006D1A56" w:rsidRPr="00535194">
        <w:rPr>
          <w:sz w:val="24"/>
          <w:szCs w:val="24"/>
        </w:rPr>
        <w:t xml:space="preserve"> and required contribution rate </w:t>
      </w:r>
      <w:r w:rsidR="00E34076" w:rsidRPr="00535194">
        <w:rPr>
          <w:sz w:val="24"/>
          <w:szCs w:val="24"/>
        </w:rPr>
        <w:t>.</w:t>
      </w:r>
      <w:r w:rsidR="00F36A18" w:rsidRPr="00535194">
        <w:rPr>
          <w:sz w:val="24"/>
          <w:szCs w:val="24"/>
        </w:rPr>
        <w:t xml:space="preserve"> </w:t>
      </w:r>
      <w:r w:rsidRPr="00535194">
        <w:rPr>
          <w:sz w:val="24"/>
          <w:szCs w:val="24"/>
        </w:rPr>
        <w:t xml:space="preserve"> </w:t>
      </w:r>
      <w:r w:rsidR="00E34076" w:rsidRPr="00535194">
        <w:rPr>
          <w:sz w:val="24"/>
          <w:szCs w:val="24"/>
        </w:rPr>
        <w:t xml:space="preserve">However, different assumptions </w:t>
      </w:r>
      <w:r w:rsidRPr="00535194">
        <w:rPr>
          <w:sz w:val="24"/>
          <w:szCs w:val="24"/>
        </w:rPr>
        <w:t>will not of course affect the actual benefits payable by the Fund in future.</w:t>
      </w:r>
    </w:p>
    <w:p w14:paraId="76539238" w14:textId="77777777" w:rsidR="001636FD" w:rsidRPr="00535194" w:rsidRDefault="001636FD" w:rsidP="001636FD">
      <w:pPr>
        <w:spacing w:after="200"/>
        <w:jc w:val="left"/>
        <w:rPr>
          <w:color w:val="455560"/>
          <w:sz w:val="24"/>
          <w:szCs w:val="24"/>
          <w:lang w:eastAsia="en-US"/>
        </w:rPr>
      </w:pPr>
      <w:r w:rsidRPr="00535194">
        <w:rPr>
          <w:color w:val="455560"/>
          <w:sz w:val="24"/>
          <w:szCs w:val="24"/>
          <w:lang w:eastAsia="en-US"/>
        </w:rPr>
        <w:t xml:space="preserve">The actuary’s approach to calculating employer contribution rates involves the projection of each employer’s future benefit payments, contributions and investment returns into the future under 5,000 possible economic scenarios. Future inflation (and therefore benefit payments) and investment returns for each asset class (and therefore employer asset values) are variables in the projections. By projecting the evolution of an employer’s assets and benefit payments 5,000 times, a contribution rate can be set that results in a sufficient number of these future projections (determined by the employer’s required likelihood) being successful at the end of the employer’s time horizon. In this context, a successful contribution rate is one which results in the employer having met its funding target at the end of the time horizon. </w:t>
      </w:r>
    </w:p>
    <w:p w14:paraId="7F1D6ACC" w14:textId="77777777" w:rsidR="001636FD" w:rsidRPr="00535194" w:rsidRDefault="001636FD" w:rsidP="001636FD">
      <w:pPr>
        <w:spacing w:after="200"/>
        <w:jc w:val="left"/>
        <w:rPr>
          <w:color w:val="455560"/>
          <w:sz w:val="24"/>
          <w:szCs w:val="24"/>
          <w:lang w:eastAsia="en-US"/>
        </w:rPr>
      </w:pPr>
      <w:r w:rsidRPr="00535194">
        <w:rPr>
          <w:color w:val="455560"/>
          <w:sz w:val="24"/>
          <w:szCs w:val="24"/>
          <w:lang w:eastAsia="en-US"/>
        </w:rPr>
        <w:t>Setting employer contribution rates therefore requires two types of assumptions to be made about the future:</w:t>
      </w:r>
    </w:p>
    <w:p w14:paraId="26970913" w14:textId="77777777" w:rsidR="001636FD" w:rsidRPr="00535194" w:rsidRDefault="001636FD" w:rsidP="001636FD">
      <w:pPr>
        <w:numPr>
          <w:ilvl w:val="0"/>
          <w:numId w:val="64"/>
        </w:numPr>
        <w:spacing w:after="200"/>
        <w:jc w:val="left"/>
        <w:rPr>
          <w:color w:val="455560"/>
          <w:sz w:val="24"/>
          <w:szCs w:val="24"/>
          <w:lang w:eastAsia="en-US"/>
        </w:rPr>
      </w:pPr>
      <w:r w:rsidRPr="00535194">
        <w:rPr>
          <w:color w:val="455560"/>
          <w:sz w:val="24"/>
          <w:szCs w:val="24"/>
          <w:lang w:eastAsia="en-US"/>
        </w:rPr>
        <w:t>Assumptions to project the employer’s assets, benefits and cashflows to the end of the funding time horizon. For this purpose the actuary uses Hymans Robertson’s proprietary stochastic economic model - the Economic Scenario Service (“ESS”).</w:t>
      </w:r>
    </w:p>
    <w:p w14:paraId="0B43E636" w14:textId="77777777" w:rsidR="001636FD" w:rsidRPr="00535194" w:rsidRDefault="001636FD" w:rsidP="001636FD">
      <w:pPr>
        <w:numPr>
          <w:ilvl w:val="0"/>
          <w:numId w:val="64"/>
        </w:numPr>
        <w:spacing w:after="200"/>
        <w:jc w:val="left"/>
        <w:rPr>
          <w:color w:val="455560"/>
          <w:sz w:val="24"/>
          <w:szCs w:val="24"/>
          <w:lang w:eastAsia="en-US"/>
        </w:rPr>
      </w:pPr>
      <w:r w:rsidRPr="00535194">
        <w:rPr>
          <w:color w:val="455560"/>
          <w:sz w:val="24"/>
          <w:szCs w:val="24"/>
          <w:lang w:eastAsia="en-US"/>
        </w:rPr>
        <w:t xml:space="preserve">Assumptions to assess whether, for a given projection, the funding target is satisfied at the end of the time horizon. For this purpose, the Fund has three different funding bases. </w:t>
      </w:r>
    </w:p>
    <w:p w14:paraId="46E363F5" w14:textId="77777777" w:rsidR="001636FD" w:rsidRPr="00535194" w:rsidRDefault="001636FD" w:rsidP="001636FD">
      <w:pPr>
        <w:spacing w:after="200"/>
        <w:jc w:val="center"/>
        <w:rPr>
          <w:color w:val="455560"/>
          <w:sz w:val="24"/>
          <w:szCs w:val="24"/>
          <w:highlight w:val="green"/>
          <w:lang w:eastAsia="en-US"/>
        </w:rPr>
      </w:pPr>
      <w:r w:rsidRPr="00535194">
        <w:rPr>
          <w:noProof/>
          <w:color w:val="455560"/>
          <w:sz w:val="24"/>
          <w:szCs w:val="24"/>
        </w:rPr>
        <w:lastRenderedPageBreak/>
        <w:drawing>
          <wp:inline distT="0" distB="0" distL="0" distR="0" wp14:anchorId="3DE632DD" wp14:editId="433A2678">
            <wp:extent cx="4810125" cy="3027358"/>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818879" cy="3032868"/>
                    </a:xfrm>
                    <a:prstGeom prst="rect">
                      <a:avLst/>
                    </a:prstGeom>
                  </pic:spPr>
                </pic:pic>
              </a:graphicData>
            </a:graphic>
          </wp:inline>
        </w:drawing>
      </w:r>
    </w:p>
    <w:p w14:paraId="1C7E8CA4" w14:textId="77777777" w:rsidR="001636FD" w:rsidRPr="00535194" w:rsidRDefault="001636FD" w:rsidP="001636FD">
      <w:pPr>
        <w:spacing w:after="200"/>
        <w:jc w:val="left"/>
        <w:rPr>
          <w:color w:val="455560"/>
          <w:sz w:val="24"/>
          <w:szCs w:val="24"/>
          <w:lang w:eastAsia="en-US"/>
        </w:rPr>
      </w:pPr>
      <w:r w:rsidRPr="00535194">
        <w:rPr>
          <w:color w:val="455560"/>
          <w:sz w:val="24"/>
          <w:szCs w:val="24"/>
          <w:lang w:eastAsia="en-US"/>
        </w:rPr>
        <w:t xml:space="preserve">Details on the ESS assumptions and funding target assumptions are included below (in E2 and E3 respectively).  </w:t>
      </w:r>
    </w:p>
    <w:p w14:paraId="6302E86C" w14:textId="77777777" w:rsidR="001636FD" w:rsidRPr="00535194" w:rsidRDefault="001636FD" w:rsidP="00535194">
      <w:pPr>
        <w:pStyle w:val="Appendix2"/>
        <w:rPr>
          <w:b w:val="0"/>
          <w:color w:val="6EC040" w:themeColor="accent6"/>
          <w:sz w:val="24"/>
          <w:szCs w:val="24"/>
        </w:rPr>
      </w:pPr>
      <w:r w:rsidRPr="00535194">
        <w:rPr>
          <w:sz w:val="24"/>
          <w:szCs w:val="24"/>
        </w:rPr>
        <w:t>E2</w:t>
      </w:r>
      <w:r w:rsidRPr="00535194">
        <w:rPr>
          <w:sz w:val="24"/>
          <w:szCs w:val="24"/>
        </w:rPr>
        <w:tab/>
        <w:t xml:space="preserve"> What assumptions are used in the ESS?</w:t>
      </w:r>
    </w:p>
    <w:p w14:paraId="019B6BFA" w14:textId="77777777" w:rsidR="001636FD" w:rsidRPr="00535194" w:rsidRDefault="001636FD" w:rsidP="001636FD">
      <w:pPr>
        <w:spacing w:after="200"/>
        <w:jc w:val="left"/>
        <w:rPr>
          <w:color w:val="455560"/>
          <w:sz w:val="24"/>
          <w:szCs w:val="24"/>
          <w:lang w:eastAsia="en-US"/>
        </w:rPr>
      </w:pPr>
      <w:r w:rsidRPr="00535194">
        <w:rPr>
          <w:color w:val="455560"/>
          <w:sz w:val="24"/>
          <w:szCs w:val="24"/>
          <w:lang w:eastAsia="en-US"/>
        </w:rPr>
        <w:t>The actuary uses Hymans Robertson’s ESS model to project a range of possible outcomes for the future behaviour of asset returns and economic variables. With this type of modelling, there is no single figure for an assumption about future inflation or investment returns.  Instead, there is a range of what future inflation or returns will be which leads to likelihoods of the assumption being higher or lower than a certain value.</w:t>
      </w:r>
    </w:p>
    <w:p w14:paraId="428A0925" w14:textId="77777777" w:rsidR="001636FD" w:rsidRPr="00535194" w:rsidRDefault="001636FD" w:rsidP="001636FD">
      <w:pPr>
        <w:spacing w:after="200"/>
        <w:jc w:val="left"/>
        <w:rPr>
          <w:color w:val="455560"/>
          <w:sz w:val="24"/>
          <w:szCs w:val="24"/>
          <w:lang w:eastAsia="en-US"/>
        </w:rPr>
      </w:pPr>
      <w:r w:rsidRPr="00535194">
        <w:rPr>
          <w:color w:val="455560"/>
          <w:sz w:val="24"/>
          <w:szCs w:val="24"/>
          <w:lang w:eastAsia="en-US"/>
        </w:rPr>
        <w:t>The ESS is a complex model to reflect the interactions and correlations between different asset classes and wider economic variables.  The table below shows the calibration of the model as at 31 March 2019.  All returns are shown net of fees and are the annualised total returns over 5, 10 and 20 years, except for the yields which refer to the simulated yields at that time horizon.</w:t>
      </w:r>
    </w:p>
    <w:p w14:paraId="72A980C7" w14:textId="2FBF1256" w:rsidR="001636FD" w:rsidRPr="00535194" w:rsidRDefault="001636FD" w:rsidP="004F3E00">
      <w:pPr>
        <w:pStyle w:val="BodyTextGrey"/>
        <w:rPr>
          <w:sz w:val="24"/>
          <w:szCs w:val="24"/>
        </w:rPr>
      </w:pPr>
      <w:r w:rsidRPr="00535194">
        <w:rPr>
          <w:rStyle w:val="HeaderTextGrey"/>
          <w:noProof/>
          <w:color w:val="3FA6CC" w:themeColor="accent4"/>
          <w:sz w:val="24"/>
          <w:szCs w:val="24"/>
          <w:lang w:eastAsia="en-GB"/>
        </w:rPr>
        <w:drawing>
          <wp:inline distT="0" distB="0" distL="0" distR="0" wp14:anchorId="502F3FBD" wp14:editId="7B3339EF">
            <wp:extent cx="6299835" cy="2242820"/>
            <wp:effectExtent l="0" t="0" r="5715"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99835" cy="2242820"/>
                    </a:xfrm>
                    <a:prstGeom prst="rect">
                      <a:avLst/>
                    </a:prstGeom>
                    <a:noFill/>
                    <a:ln>
                      <a:noFill/>
                    </a:ln>
                  </pic:spPr>
                </pic:pic>
              </a:graphicData>
            </a:graphic>
          </wp:inline>
        </w:drawing>
      </w:r>
    </w:p>
    <w:p w14:paraId="2A238F5D" w14:textId="1F17AAA5" w:rsidR="004F3E00" w:rsidRPr="00535194" w:rsidRDefault="004F3E00" w:rsidP="004F3E00">
      <w:pPr>
        <w:pStyle w:val="Appendix2"/>
        <w:rPr>
          <w:sz w:val="24"/>
          <w:szCs w:val="24"/>
        </w:rPr>
      </w:pPr>
      <w:r w:rsidRPr="00535194">
        <w:rPr>
          <w:sz w:val="24"/>
          <w:szCs w:val="24"/>
        </w:rPr>
        <w:lastRenderedPageBreak/>
        <w:t>E</w:t>
      </w:r>
      <w:r w:rsidR="00760F5D">
        <w:rPr>
          <w:sz w:val="24"/>
          <w:szCs w:val="24"/>
        </w:rPr>
        <w:t>3</w:t>
      </w:r>
      <w:r w:rsidRPr="00535194">
        <w:rPr>
          <w:sz w:val="24"/>
          <w:szCs w:val="24"/>
        </w:rPr>
        <w:tab/>
        <w:t xml:space="preserve">What </w:t>
      </w:r>
      <w:r w:rsidR="001636FD" w:rsidRPr="00535194">
        <w:rPr>
          <w:sz w:val="24"/>
          <w:szCs w:val="24"/>
        </w:rPr>
        <w:t xml:space="preserve"> assumptions are used in the funding target?</w:t>
      </w:r>
    </w:p>
    <w:p w14:paraId="381442DD" w14:textId="77777777" w:rsidR="001636FD" w:rsidRPr="00535194" w:rsidRDefault="001636FD" w:rsidP="001636FD">
      <w:pPr>
        <w:spacing w:after="200"/>
        <w:jc w:val="left"/>
        <w:rPr>
          <w:color w:val="455560"/>
          <w:sz w:val="24"/>
          <w:szCs w:val="24"/>
          <w:lang w:eastAsia="en-US"/>
        </w:rPr>
      </w:pPr>
      <w:r w:rsidRPr="00535194">
        <w:rPr>
          <w:color w:val="455560"/>
          <w:sz w:val="24"/>
          <w:szCs w:val="24"/>
          <w:lang w:eastAsia="en-US"/>
        </w:rPr>
        <w:t>At the end of an employer’s funding time horizon, an assessment will be made – for each of the 5,000 projections – of how the assets held compare to the value of assets required to meet the future benefit payments (the funding target). Valuing the cost of future benefits requires the actuary to make assumptions about the following financial factors:</w:t>
      </w:r>
    </w:p>
    <w:p w14:paraId="7C55E9CE" w14:textId="77777777" w:rsidR="001636FD" w:rsidRPr="00535194" w:rsidRDefault="001636FD" w:rsidP="00535194">
      <w:pPr>
        <w:pStyle w:val="ListParagraph"/>
        <w:numPr>
          <w:ilvl w:val="0"/>
          <w:numId w:val="65"/>
        </w:numPr>
        <w:spacing w:after="140" w:line="280" w:lineRule="exact"/>
        <w:jc w:val="left"/>
        <w:rPr>
          <w:color w:val="455560"/>
          <w:sz w:val="24"/>
          <w:szCs w:val="24"/>
          <w:lang w:eastAsia="en-US"/>
        </w:rPr>
      </w:pPr>
      <w:r w:rsidRPr="00535194">
        <w:rPr>
          <w:color w:val="455560"/>
          <w:sz w:val="24"/>
          <w:szCs w:val="24"/>
          <w:lang w:eastAsia="en-US"/>
        </w:rPr>
        <w:t>Benefit increases and CARE revaluation</w:t>
      </w:r>
    </w:p>
    <w:p w14:paraId="06F775A8" w14:textId="77777777" w:rsidR="001636FD" w:rsidRPr="00535194" w:rsidRDefault="001636FD" w:rsidP="00535194">
      <w:pPr>
        <w:pStyle w:val="ListParagraph"/>
        <w:numPr>
          <w:ilvl w:val="0"/>
          <w:numId w:val="65"/>
        </w:numPr>
        <w:spacing w:after="140" w:line="280" w:lineRule="exact"/>
        <w:jc w:val="left"/>
        <w:rPr>
          <w:color w:val="455560"/>
          <w:sz w:val="24"/>
          <w:szCs w:val="24"/>
          <w:lang w:eastAsia="en-US"/>
        </w:rPr>
      </w:pPr>
      <w:r w:rsidRPr="00535194">
        <w:rPr>
          <w:color w:val="455560"/>
          <w:sz w:val="24"/>
          <w:szCs w:val="24"/>
          <w:lang w:eastAsia="en-US"/>
        </w:rPr>
        <w:t>Salary growth</w:t>
      </w:r>
    </w:p>
    <w:p w14:paraId="5E695E35" w14:textId="77777777" w:rsidR="001636FD" w:rsidRPr="00535194" w:rsidRDefault="001636FD" w:rsidP="00535194">
      <w:pPr>
        <w:pStyle w:val="ListParagraph"/>
        <w:numPr>
          <w:ilvl w:val="0"/>
          <w:numId w:val="65"/>
        </w:numPr>
        <w:spacing w:after="140" w:line="280" w:lineRule="exact"/>
        <w:jc w:val="left"/>
        <w:rPr>
          <w:color w:val="455560"/>
          <w:sz w:val="24"/>
          <w:szCs w:val="24"/>
          <w:lang w:eastAsia="en-US"/>
        </w:rPr>
      </w:pPr>
      <w:r w:rsidRPr="00535194">
        <w:rPr>
          <w:color w:val="455560"/>
          <w:sz w:val="24"/>
          <w:szCs w:val="24"/>
          <w:lang w:eastAsia="en-US"/>
        </w:rPr>
        <w:t>Investment returns (the “discount rate”)</w:t>
      </w:r>
    </w:p>
    <w:p w14:paraId="0B500F98" w14:textId="77777777" w:rsidR="001636FD" w:rsidRPr="00535194" w:rsidRDefault="001636FD" w:rsidP="001636FD">
      <w:pPr>
        <w:spacing w:after="200"/>
        <w:jc w:val="left"/>
        <w:rPr>
          <w:color w:val="455560"/>
          <w:sz w:val="24"/>
          <w:szCs w:val="24"/>
          <w:lang w:eastAsia="en-US"/>
        </w:rPr>
      </w:pPr>
      <w:r w:rsidRPr="00535194">
        <w:rPr>
          <w:color w:val="455560"/>
          <w:sz w:val="24"/>
          <w:szCs w:val="24"/>
          <w:lang w:eastAsia="en-US"/>
        </w:rPr>
        <w:t>Each of the 5,000 projections represents a different prevailing economic environment at the end of the funding time horizon and so a single, fixed value for each assumption is unlikely to be appropriate for every projection. For example, a high assumed future investment return (discount rate) would not be prudent in projections with a weak outlook for economic growth.  Therefore, instead of using a fixed value for each assumption, the actuary references economic indicators to ensure the assumptions remain appropriate for the prevailing economic environment in each projection. The economic indicators the actuary uses are: future inflation expectations and the prevailing risk free rate of return (the yield on long term UK government bonds is used as a proxy for this rate).</w:t>
      </w:r>
    </w:p>
    <w:p w14:paraId="1972E2C2" w14:textId="74E0B8DD" w:rsidR="001636FD" w:rsidRPr="00535194" w:rsidRDefault="00535194" w:rsidP="001636FD">
      <w:pPr>
        <w:spacing w:after="200"/>
        <w:jc w:val="left"/>
        <w:rPr>
          <w:color w:val="455560"/>
          <w:sz w:val="24"/>
          <w:szCs w:val="24"/>
          <w:lang w:eastAsia="en-US"/>
        </w:rPr>
      </w:pPr>
      <w:r>
        <w:rPr>
          <w:color w:val="455560"/>
          <w:sz w:val="24"/>
          <w:szCs w:val="24"/>
          <w:lang w:eastAsia="en-US"/>
        </w:rPr>
        <w:t xml:space="preserve">The </w:t>
      </w:r>
      <w:r w:rsidR="001636FD" w:rsidRPr="00535194">
        <w:rPr>
          <w:color w:val="455560"/>
          <w:sz w:val="24"/>
          <w:szCs w:val="24"/>
          <w:lang w:eastAsia="en-US"/>
        </w:rPr>
        <w:t xml:space="preserve">Fund has three funding bases which will apply to different employers depending on their type. Each funding basis has a different assumption for future investment returns when determining the employer’s funding target. </w:t>
      </w:r>
    </w:p>
    <w:tbl>
      <w:tblPr>
        <w:tblStyle w:val="TableGrid1"/>
        <w:tblW w:w="0" w:type="auto"/>
        <w:tblLook w:val="04A0" w:firstRow="1" w:lastRow="0" w:firstColumn="1" w:lastColumn="0" w:noHBand="0" w:noVBand="1"/>
      </w:tblPr>
      <w:tblGrid>
        <w:gridCol w:w="2477"/>
        <w:gridCol w:w="2478"/>
        <w:gridCol w:w="2478"/>
        <w:gridCol w:w="2478"/>
      </w:tblGrid>
      <w:tr w:rsidR="001636FD" w:rsidRPr="00822CD0" w14:paraId="49FA9287" w14:textId="77777777" w:rsidTr="0017378E">
        <w:tc>
          <w:tcPr>
            <w:tcW w:w="2477" w:type="dxa"/>
          </w:tcPr>
          <w:p w14:paraId="6771EA37" w14:textId="77777777" w:rsidR="001636FD" w:rsidRPr="00535194" w:rsidRDefault="001636FD" w:rsidP="001636FD">
            <w:pPr>
              <w:spacing w:after="200"/>
              <w:jc w:val="left"/>
              <w:rPr>
                <w:b/>
                <w:color w:val="455560"/>
                <w:sz w:val="24"/>
                <w:szCs w:val="24"/>
                <w:lang w:eastAsia="en-US"/>
              </w:rPr>
            </w:pPr>
            <w:r w:rsidRPr="00535194">
              <w:rPr>
                <w:b/>
                <w:color w:val="455560"/>
                <w:sz w:val="24"/>
                <w:szCs w:val="24"/>
                <w:lang w:eastAsia="en-US"/>
              </w:rPr>
              <w:t>Funding basis</w:t>
            </w:r>
          </w:p>
        </w:tc>
        <w:tc>
          <w:tcPr>
            <w:tcW w:w="2478" w:type="dxa"/>
          </w:tcPr>
          <w:p w14:paraId="18333399" w14:textId="77777777" w:rsidR="001636FD" w:rsidRPr="00535194" w:rsidRDefault="001636FD" w:rsidP="001636FD">
            <w:pPr>
              <w:spacing w:after="200"/>
              <w:jc w:val="left"/>
              <w:rPr>
                <w:b/>
                <w:color w:val="455560"/>
                <w:sz w:val="24"/>
                <w:szCs w:val="24"/>
                <w:lang w:eastAsia="en-US"/>
              </w:rPr>
            </w:pPr>
            <w:r w:rsidRPr="00535194">
              <w:rPr>
                <w:b/>
                <w:color w:val="455560"/>
                <w:sz w:val="24"/>
                <w:szCs w:val="24"/>
                <w:lang w:eastAsia="en-US"/>
              </w:rPr>
              <w:t>Ongoing participation basis</w:t>
            </w:r>
          </w:p>
        </w:tc>
        <w:tc>
          <w:tcPr>
            <w:tcW w:w="2478" w:type="dxa"/>
          </w:tcPr>
          <w:p w14:paraId="7F4F3278" w14:textId="77777777" w:rsidR="001636FD" w:rsidRPr="00535194" w:rsidRDefault="001636FD" w:rsidP="001636FD">
            <w:pPr>
              <w:spacing w:after="200"/>
              <w:jc w:val="left"/>
              <w:rPr>
                <w:b/>
                <w:color w:val="455560"/>
                <w:sz w:val="24"/>
                <w:szCs w:val="24"/>
                <w:lang w:eastAsia="en-US"/>
              </w:rPr>
            </w:pPr>
            <w:r w:rsidRPr="00535194">
              <w:rPr>
                <w:b/>
                <w:color w:val="455560"/>
                <w:sz w:val="24"/>
                <w:szCs w:val="24"/>
                <w:lang w:eastAsia="en-US"/>
              </w:rPr>
              <w:t>Contractor exit basis</w:t>
            </w:r>
          </w:p>
        </w:tc>
        <w:tc>
          <w:tcPr>
            <w:tcW w:w="2478" w:type="dxa"/>
          </w:tcPr>
          <w:p w14:paraId="1C502726" w14:textId="77777777" w:rsidR="001636FD" w:rsidRPr="00535194" w:rsidRDefault="001636FD" w:rsidP="001636FD">
            <w:pPr>
              <w:spacing w:after="200"/>
              <w:jc w:val="left"/>
              <w:rPr>
                <w:b/>
                <w:color w:val="455560"/>
                <w:sz w:val="24"/>
                <w:szCs w:val="24"/>
                <w:lang w:eastAsia="en-US"/>
              </w:rPr>
            </w:pPr>
            <w:r w:rsidRPr="00535194">
              <w:rPr>
                <w:b/>
                <w:color w:val="455560"/>
                <w:sz w:val="24"/>
                <w:szCs w:val="24"/>
                <w:lang w:eastAsia="en-US"/>
              </w:rPr>
              <w:t>Low risk exit basis</w:t>
            </w:r>
          </w:p>
        </w:tc>
      </w:tr>
      <w:tr w:rsidR="001636FD" w:rsidRPr="00822CD0" w14:paraId="31343EDB" w14:textId="77777777" w:rsidTr="0017378E">
        <w:tc>
          <w:tcPr>
            <w:tcW w:w="2477" w:type="dxa"/>
          </w:tcPr>
          <w:p w14:paraId="2CD427F3" w14:textId="77777777" w:rsidR="001636FD" w:rsidRPr="00535194" w:rsidRDefault="001636FD" w:rsidP="001636FD">
            <w:pPr>
              <w:spacing w:after="200"/>
              <w:jc w:val="left"/>
              <w:rPr>
                <w:b/>
                <w:color w:val="455560"/>
                <w:sz w:val="24"/>
                <w:szCs w:val="24"/>
                <w:lang w:eastAsia="en-US"/>
              </w:rPr>
            </w:pPr>
            <w:r w:rsidRPr="00535194">
              <w:rPr>
                <w:b/>
                <w:color w:val="455560"/>
                <w:sz w:val="24"/>
                <w:szCs w:val="24"/>
                <w:lang w:eastAsia="en-US"/>
              </w:rPr>
              <w:t>Employer type</w:t>
            </w:r>
          </w:p>
        </w:tc>
        <w:tc>
          <w:tcPr>
            <w:tcW w:w="2478" w:type="dxa"/>
          </w:tcPr>
          <w:p w14:paraId="620D6620" w14:textId="77777777" w:rsidR="001636FD" w:rsidRPr="00535194" w:rsidRDefault="001636FD" w:rsidP="001636FD">
            <w:pPr>
              <w:spacing w:after="200"/>
              <w:jc w:val="left"/>
              <w:rPr>
                <w:color w:val="455560"/>
                <w:sz w:val="24"/>
                <w:szCs w:val="24"/>
                <w:lang w:eastAsia="en-US"/>
              </w:rPr>
            </w:pPr>
            <w:r w:rsidRPr="00535194">
              <w:rPr>
                <w:color w:val="455560"/>
                <w:sz w:val="24"/>
                <w:szCs w:val="24"/>
                <w:lang w:eastAsia="en-US"/>
              </w:rPr>
              <w:t>All employers except Transferee Admission Bodies and closed Community Admission Bodies</w:t>
            </w:r>
          </w:p>
        </w:tc>
        <w:tc>
          <w:tcPr>
            <w:tcW w:w="2478" w:type="dxa"/>
          </w:tcPr>
          <w:p w14:paraId="3713B317" w14:textId="77777777" w:rsidR="001636FD" w:rsidRPr="00535194" w:rsidRDefault="001636FD" w:rsidP="001636FD">
            <w:pPr>
              <w:spacing w:after="200"/>
              <w:jc w:val="left"/>
              <w:rPr>
                <w:color w:val="455560"/>
                <w:sz w:val="24"/>
                <w:szCs w:val="24"/>
                <w:lang w:eastAsia="en-US"/>
              </w:rPr>
            </w:pPr>
            <w:r w:rsidRPr="00535194">
              <w:rPr>
                <w:color w:val="455560"/>
                <w:sz w:val="24"/>
                <w:szCs w:val="24"/>
                <w:lang w:eastAsia="en-US"/>
              </w:rPr>
              <w:t>Transferee Admission Bodies</w:t>
            </w:r>
          </w:p>
        </w:tc>
        <w:tc>
          <w:tcPr>
            <w:tcW w:w="2478" w:type="dxa"/>
          </w:tcPr>
          <w:p w14:paraId="09CA4E8D" w14:textId="77777777" w:rsidR="001636FD" w:rsidRPr="00535194" w:rsidRDefault="001636FD" w:rsidP="001636FD">
            <w:pPr>
              <w:spacing w:after="200"/>
              <w:jc w:val="left"/>
              <w:rPr>
                <w:color w:val="455560"/>
                <w:sz w:val="24"/>
                <w:szCs w:val="24"/>
                <w:lang w:eastAsia="en-US"/>
              </w:rPr>
            </w:pPr>
            <w:r w:rsidRPr="00535194">
              <w:rPr>
                <w:color w:val="455560"/>
                <w:sz w:val="24"/>
                <w:szCs w:val="24"/>
                <w:lang w:eastAsia="en-US"/>
              </w:rPr>
              <w:t>Community Admission Bodies that are closed to new entrants</w:t>
            </w:r>
          </w:p>
        </w:tc>
      </w:tr>
      <w:tr w:rsidR="001636FD" w:rsidRPr="00822CD0" w14:paraId="04698D47" w14:textId="77777777" w:rsidTr="0017378E">
        <w:tc>
          <w:tcPr>
            <w:tcW w:w="2477" w:type="dxa"/>
          </w:tcPr>
          <w:p w14:paraId="3C5C23E9" w14:textId="77777777" w:rsidR="001636FD" w:rsidRPr="00535194" w:rsidRDefault="001636FD" w:rsidP="001636FD">
            <w:pPr>
              <w:keepNext/>
              <w:keepLines/>
              <w:spacing w:after="20"/>
              <w:jc w:val="left"/>
              <w:rPr>
                <w:b/>
                <w:color w:val="4B4B4B"/>
                <w:sz w:val="24"/>
                <w:szCs w:val="24"/>
                <w:lang w:eastAsia="en-US"/>
              </w:rPr>
            </w:pPr>
            <w:r w:rsidRPr="00535194">
              <w:rPr>
                <w:b/>
                <w:color w:val="4B4B4B"/>
                <w:sz w:val="24"/>
                <w:szCs w:val="24"/>
                <w:lang w:eastAsia="en-US"/>
              </w:rPr>
              <w:t>Investment return assumption underlying the employer’s funding target (at the end of its time horizon)</w:t>
            </w:r>
          </w:p>
          <w:p w14:paraId="35DA7F02" w14:textId="77777777" w:rsidR="001636FD" w:rsidRPr="00535194" w:rsidRDefault="001636FD" w:rsidP="001636FD">
            <w:pPr>
              <w:spacing w:after="200"/>
              <w:jc w:val="left"/>
              <w:rPr>
                <w:b/>
                <w:color w:val="455560"/>
                <w:sz w:val="24"/>
                <w:szCs w:val="24"/>
                <w:lang w:eastAsia="en-US"/>
              </w:rPr>
            </w:pPr>
          </w:p>
        </w:tc>
        <w:tc>
          <w:tcPr>
            <w:tcW w:w="2478" w:type="dxa"/>
          </w:tcPr>
          <w:p w14:paraId="1A472FA5" w14:textId="1DFD7E93" w:rsidR="001636FD" w:rsidRPr="00535194" w:rsidRDefault="001636FD" w:rsidP="001636FD">
            <w:pPr>
              <w:spacing w:after="200"/>
              <w:jc w:val="left"/>
              <w:rPr>
                <w:color w:val="455560"/>
                <w:sz w:val="24"/>
                <w:szCs w:val="24"/>
                <w:lang w:eastAsia="en-US"/>
              </w:rPr>
            </w:pPr>
            <w:r w:rsidRPr="00535194">
              <w:rPr>
                <w:color w:val="455560"/>
                <w:sz w:val="24"/>
                <w:szCs w:val="24"/>
                <w:lang w:eastAsia="en-US"/>
              </w:rPr>
              <w:t>Long term government bond yields plus an asset outperformance assumption (AOA) of [1.</w:t>
            </w:r>
            <w:r w:rsidR="00BF7986" w:rsidRPr="00535194">
              <w:rPr>
                <w:color w:val="455560"/>
                <w:sz w:val="24"/>
                <w:szCs w:val="24"/>
                <w:lang w:eastAsia="en-US"/>
              </w:rPr>
              <w:t>6</w:t>
            </w:r>
            <w:r w:rsidRPr="00535194">
              <w:rPr>
                <w:color w:val="455560"/>
                <w:sz w:val="24"/>
                <w:szCs w:val="24"/>
                <w:lang w:eastAsia="en-US"/>
              </w:rPr>
              <w:t xml:space="preserve">]% p.a. </w:t>
            </w:r>
          </w:p>
        </w:tc>
        <w:tc>
          <w:tcPr>
            <w:tcW w:w="2478" w:type="dxa"/>
          </w:tcPr>
          <w:p w14:paraId="37FB7E18" w14:textId="77777777" w:rsidR="001636FD" w:rsidRPr="00535194" w:rsidRDefault="001636FD" w:rsidP="001636FD">
            <w:pPr>
              <w:spacing w:after="200"/>
              <w:jc w:val="left"/>
              <w:rPr>
                <w:color w:val="455560"/>
                <w:sz w:val="24"/>
                <w:szCs w:val="24"/>
                <w:lang w:eastAsia="en-US"/>
              </w:rPr>
            </w:pPr>
            <w:r w:rsidRPr="00535194">
              <w:rPr>
                <w:color w:val="455560"/>
                <w:sz w:val="24"/>
                <w:szCs w:val="24"/>
                <w:lang w:eastAsia="en-US"/>
              </w:rPr>
              <w:t>Long term government bond yields plus an AOA equal to the AOA used to allocate assets to the employer on joining the Fund</w:t>
            </w:r>
          </w:p>
        </w:tc>
        <w:tc>
          <w:tcPr>
            <w:tcW w:w="2478" w:type="dxa"/>
          </w:tcPr>
          <w:p w14:paraId="46213E8D" w14:textId="77777777" w:rsidR="001636FD" w:rsidRPr="00535194" w:rsidRDefault="001636FD" w:rsidP="001636FD">
            <w:pPr>
              <w:spacing w:after="200"/>
              <w:jc w:val="left"/>
              <w:rPr>
                <w:color w:val="455560"/>
                <w:sz w:val="24"/>
                <w:szCs w:val="24"/>
                <w:lang w:eastAsia="en-US"/>
              </w:rPr>
            </w:pPr>
            <w:r w:rsidRPr="00535194">
              <w:rPr>
                <w:color w:val="455560"/>
                <w:sz w:val="24"/>
                <w:szCs w:val="24"/>
                <w:lang w:eastAsia="en-US"/>
              </w:rPr>
              <w:t>Long term government bond yields with no allowance for outperformance on the Fund’s assets</w:t>
            </w:r>
          </w:p>
        </w:tc>
      </w:tr>
    </w:tbl>
    <w:p w14:paraId="3068FF69" w14:textId="77777777" w:rsidR="001636FD" w:rsidRPr="00535194" w:rsidRDefault="001636FD" w:rsidP="004F3E00">
      <w:pPr>
        <w:pStyle w:val="BodyTextGrey"/>
        <w:rPr>
          <w:sz w:val="24"/>
          <w:szCs w:val="24"/>
        </w:rPr>
      </w:pPr>
    </w:p>
    <w:p w14:paraId="5D8EE15F" w14:textId="7667F226" w:rsidR="004F3E00" w:rsidRPr="00535194" w:rsidRDefault="004F3E00" w:rsidP="004F3E00">
      <w:pPr>
        <w:pStyle w:val="Appendix2"/>
        <w:rPr>
          <w:sz w:val="24"/>
          <w:szCs w:val="24"/>
        </w:rPr>
      </w:pPr>
      <w:r w:rsidRPr="00535194">
        <w:rPr>
          <w:sz w:val="24"/>
          <w:szCs w:val="24"/>
        </w:rPr>
        <w:t>E</w:t>
      </w:r>
      <w:r w:rsidR="00760F5D">
        <w:rPr>
          <w:sz w:val="24"/>
          <w:szCs w:val="24"/>
        </w:rPr>
        <w:t>4</w:t>
      </w:r>
      <w:r w:rsidRPr="00535194">
        <w:rPr>
          <w:sz w:val="24"/>
          <w:szCs w:val="24"/>
        </w:rPr>
        <w:tab/>
      </w:r>
      <w:bookmarkStart w:id="52" w:name="E3WhatAssumptionsAreMadeInTheOngoingBasi"/>
      <w:r w:rsidRPr="00535194">
        <w:rPr>
          <w:sz w:val="24"/>
          <w:szCs w:val="24"/>
        </w:rPr>
        <w:t xml:space="preserve">What </w:t>
      </w:r>
      <w:r w:rsidR="001636FD" w:rsidRPr="00535194">
        <w:rPr>
          <w:sz w:val="24"/>
          <w:szCs w:val="24"/>
        </w:rPr>
        <w:t xml:space="preserve">other </w:t>
      </w:r>
      <w:r w:rsidRPr="00535194">
        <w:rPr>
          <w:sz w:val="24"/>
          <w:szCs w:val="24"/>
        </w:rPr>
        <w:t xml:space="preserve">assumptions </w:t>
      </w:r>
      <w:bookmarkEnd w:id="52"/>
      <w:r w:rsidR="001636FD" w:rsidRPr="00535194">
        <w:rPr>
          <w:sz w:val="24"/>
          <w:szCs w:val="24"/>
        </w:rPr>
        <w:t>apply?</w:t>
      </w:r>
    </w:p>
    <w:p w14:paraId="60CB8F3B" w14:textId="7544F660" w:rsidR="004F3E00" w:rsidRPr="00535194" w:rsidRDefault="004F3E00" w:rsidP="001636FD">
      <w:pPr>
        <w:pStyle w:val="BodyTextGrey"/>
        <w:rPr>
          <w:sz w:val="24"/>
          <w:szCs w:val="24"/>
        </w:rPr>
      </w:pPr>
    </w:p>
    <w:p w14:paraId="7C42C4A3" w14:textId="287B7E1C" w:rsidR="007E6001" w:rsidRPr="00535194" w:rsidRDefault="001636FD" w:rsidP="0052118E">
      <w:pPr>
        <w:spacing w:after="200"/>
        <w:jc w:val="left"/>
        <w:rPr>
          <w:b/>
          <w:sz w:val="24"/>
          <w:szCs w:val="24"/>
          <w:lang w:eastAsia="en-US"/>
        </w:rPr>
      </w:pPr>
      <w:r w:rsidRPr="00535194">
        <w:rPr>
          <w:color w:val="455560"/>
          <w:sz w:val="24"/>
          <w:szCs w:val="24"/>
          <w:lang w:eastAsia="en-US"/>
        </w:rPr>
        <w:t>The following assumptions are those of the most significance used in both the projection of the assets, benefits and cashflows and in the funding target.</w:t>
      </w:r>
    </w:p>
    <w:p w14:paraId="287EAB3C" w14:textId="77777777" w:rsidR="004F3E00" w:rsidRPr="00535194" w:rsidRDefault="004F3E00" w:rsidP="00C728B0">
      <w:pPr>
        <w:pStyle w:val="Appendix3"/>
        <w:numPr>
          <w:ilvl w:val="0"/>
          <w:numId w:val="18"/>
        </w:numPr>
        <w:rPr>
          <w:sz w:val="24"/>
          <w:szCs w:val="24"/>
        </w:rPr>
      </w:pPr>
      <w:r w:rsidRPr="00535194">
        <w:rPr>
          <w:sz w:val="24"/>
          <w:szCs w:val="24"/>
        </w:rPr>
        <w:lastRenderedPageBreak/>
        <w:t>Salary growth</w:t>
      </w:r>
    </w:p>
    <w:p w14:paraId="67E975ED" w14:textId="12851854" w:rsidR="005D4C20" w:rsidRPr="00535194" w:rsidRDefault="001636FD" w:rsidP="00B94F71">
      <w:pPr>
        <w:pStyle w:val="BodyTextGrey"/>
        <w:rPr>
          <w:sz w:val="24"/>
          <w:szCs w:val="24"/>
        </w:rPr>
      </w:pPr>
      <w:r w:rsidRPr="00535194">
        <w:rPr>
          <w:sz w:val="24"/>
          <w:szCs w:val="24"/>
        </w:rPr>
        <w:t xml:space="preserve"> After discussion with Fund officers</w:t>
      </w:r>
      <w:r w:rsidR="005D4C20" w:rsidRPr="00535194">
        <w:rPr>
          <w:sz w:val="24"/>
          <w:szCs w:val="24"/>
        </w:rPr>
        <w:t xml:space="preserve"> </w:t>
      </w:r>
      <w:r w:rsidR="004F3E00" w:rsidRPr="00535194">
        <w:rPr>
          <w:sz w:val="24"/>
          <w:szCs w:val="24"/>
        </w:rPr>
        <w:t>the salary increase assumption at the 201</w:t>
      </w:r>
      <w:r w:rsidRPr="00535194">
        <w:rPr>
          <w:sz w:val="24"/>
          <w:szCs w:val="24"/>
        </w:rPr>
        <w:t>9</w:t>
      </w:r>
      <w:r w:rsidR="004F3E00" w:rsidRPr="00535194">
        <w:rPr>
          <w:sz w:val="24"/>
          <w:szCs w:val="24"/>
        </w:rPr>
        <w:t xml:space="preserve"> valuation has been set to</w:t>
      </w:r>
      <w:r w:rsidR="005D4C20" w:rsidRPr="00535194">
        <w:rPr>
          <w:sz w:val="24"/>
          <w:szCs w:val="24"/>
        </w:rPr>
        <w:t xml:space="preserve"> be a blended rate combined of:</w:t>
      </w:r>
    </w:p>
    <w:p w14:paraId="5EE4A2B5" w14:textId="681FEE13" w:rsidR="005D4C20" w:rsidRPr="00535194" w:rsidRDefault="00BF7986" w:rsidP="00C728B0">
      <w:pPr>
        <w:pStyle w:val="BodyTextGrey"/>
        <w:numPr>
          <w:ilvl w:val="0"/>
          <w:numId w:val="31"/>
        </w:numPr>
        <w:rPr>
          <w:b/>
          <w:sz w:val="24"/>
          <w:szCs w:val="24"/>
        </w:rPr>
      </w:pPr>
      <w:r w:rsidRPr="00535194">
        <w:rPr>
          <w:sz w:val="24"/>
          <w:szCs w:val="24"/>
        </w:rPr>
        <w:t>2</w:t>
      </w:r>
      <w:r w:rsidR="005D4C20" w:rsidRPr="00535194">
        <w:rPr>
          <w:sz w:val="24"/>
          <w:szCs w:val="24"/>
        </w:rPr>
        <w:t>% p.a. until 31 March 202</w:t>
      </w:r>
      <w:r w:rsidRPr="00535194">
        <w:rPr>
          <w:sz w:val="24"/>
          <w:szCs w:val="24"/>
        </w:rPr>
        <w:t>2</w:t>
      </w:r>
      <w:r w:rsidR="005D4C20" w:rsidRPr="00535194">
        <w:rPr>
          <w:sz w:val="24"/>
          <w:szCs w:val="24"/>
        </w:rPr>
        <w:t>, followed by</w:t>
      </w:r>
    </w:p>
    <w:p w14:paraId="5E3D3AEB" w14:textId="2BFD3E19" w:rsidR="005D4C20" w:rsidRPr="00535194" w:rsidRDefault="00BF7986" w:rsidP="00C728B0">
      <w:pPr>
        <w:pStyle w:val="BodyTextGrey"/>
        <w:numPr>
          <w:ilvl w:val="0"/>
          <w:numId w:val="31"/>
        </w:numPr>
        <w:rPr>
          <w:b/>
          <w:sz w:val="24"/>
          <w:szCs w:val="24"/>
        </w:rPr>
      </w:pPr>
      <w:r w:rsidRPr="00535194">
        <w:rPr>
          <w:sz w:val="24"/>
          <w:szCs w:val="24"/>
        </w:rPr>
        <w:t>0.5% below</w:t>
      </w:r>
      <w:r w:rsidR="002E2BA0" w:rsidRPr="00535194">
        <w:rPr>
          <w:sz w:val="24"/>
          <w:szCs w:val="24"/>
        </w:rPr>
        <w:t xml:space="preserve"> the retail prices index (</w:t>
      </w:r>
      <w:r w:rsidR="004F3E00" w:rsidRPr="00535194">
        <w:rPr>
          <w:sz w:val="24"/>
          <w:szCs w:val="24"/>
        </w:rPr>
        <w:t>RPI</w:t>
      </w:r>
      <w:r w:rsidR="002E2BA0" w:rsidRPr="00535194">
        <w:rPr>
          <w:sz w:val="24"/>
          <w:szCs w:val="24"/>
        </w:rPr>
        <w:t>)</w:t>
      </w:r>
      <w:r w:rsidR="004F3E00" w:rsidRPr="00535194">
        <w:rPr>
          <w:sz w:val="24"/>
          <w:szCs w:val="24"/>
        </w:rPr>
        <w:t xml:space="preserve"> </w:t>
      </w:r>
      <w:r w:rsidR="00786D64" w:rsidRPr="00535194">
        <w:rPr>
          <w:sz w:val="24"/>
          <w:szCs w:val="24"/>
        </w:rPr>
        <w:t>per annum</w:t>
      </w:r>
      <w:r w:rsidR="005D4C20" w:rsidRPr="00535194">
        <w:rPr>
          <w:sz w:val="24"/>
          <w:szCs w:val="24"/>
        </w:rPr>
        <w:t xml:space="preserve"> p.a. thereafter</w:t>
      </w:r>
      <w:r w:rsidR="002E2BA0" w:rsidRPr="00535194">
        <w:rPr>
          <w:sz w:val="24"/>
          <w:szCs w:val="24"/>
        </w:rPr>
        <w:t>.</w:t>
      </w:r>
      <w:r w:rsidR="004F3E00" w:rsidRPr="00535194">
        <w:rPr>
          <w:sz w:val="24"/>
          <w:szCs w:val="24"/>
        </w:rPr>
        <w:t xml:space="preserve"> </w:t>
      </w:r>
      <w:r w:rsidR="00671F00" w:rsidRPr="00535194">
        <w:rPr>
          <w:sz w:val="24"/>
          <w:szCs w:val="24"/>
        </w:rPr>
        <w:t xml:space="preserve"> </w:t>
      </w:r>
    </w:p>
    <w:p w14:paraId="616835B4" w14:textId="3778C0ED" w:rsidR="00896A21" w:rsidRPr="00535194" w:rsidRDefault="00896A21" w:rsidP="00896A21">
      <w:pPr>
        <w:spacing w:after="200"/>
        <w:jc w:val="left"/>
        <w:rPr>
          <w:b/>
          <w:color w:val="455560"/>
          <w:sz w:val="24"/>
          <w:szCs w:val="24"/>
          <w:lang w:eastAsia="en-US"/>
        </w:rPr>
      </w:pPr>
      <w:r w:rsidRPr="00535194">
        <w:rPr>
          <w:color w:val="455560"/>
          <w:sz w:val="24"/>
          <w:szCs w:val="24"/>
          <w:lang w:eastAsia="en-US"/>
        </w:rPr>
        <w:t xml:space="preserve">This gives a single “blended” assumption of </w:t>
      </w:r>
      <w:r w:rsidR="00BF7986" w:rsidRPr="00535194">
        <w:rPr>
          <w:color w:val="455560"/>
          <w:sz w:val="24"/>
          <w:szCs w:val="24"/>
          <w:lang w:eastAsia="en-US"/>
        </w:rPr>
        <w:t>RPI less 0.6%</w:t>
      </w:r>
      <w:r w:rsidRPr="00535194">
        <w:rPr>
          <w:color w:val="455560"/>
          <w:sz w:val="24"/>
          <w:szCs w:val="24"/>
          <w:lang w:eastAsia="en-US"/>
        </w:rPr>
        <w:t xml:space="preserve">. This is a change from the previous valuation, which assumed a blended assumption of </w:t>
      </w:r>
      <w:r w:rsidR="00BF7986" w:rsidRPr="00535194">
        <w:rPr>
          <w:color w:val="455560"/>
          <w:sz w:val="24"/>
          <w:szCs w:val="24"/>
          <w:lang w:eastAsia="en-US"/>
        </w:rPr>
        <w:t>RPI less 0.4</w:t>
      </w:r>
      <w:r w:rsidRPr="00535194">
        <w:rPr>
          <w:color w:val="455560"/>
          <w:sz w:val="24"/>
          <w:szCs w:val="24"/>
          <w:lang w:eastAsia="en-US"/>
        </w:rPr>
        <w:t>% per annum. The change has led to a reduction in the funding target (all other things being equal).</w:t>
      </w:r>
    </w:p>
    <w:p w14:paraId="1250384F" w14:textId="77777777" w:rsidR="004F3E00" w:rsidRPr="00535194" w:rsidRDefault="004F3E00" w:rsidP="00C728B0">
      <w:pPr>
        <w:pStyle w:val="Appendix3"/>
        <w:numPr>
          <w:ilvl w:val="0"/>
          <w:numId w:val="18"/>
        </w:numPr>
        <w:rPr>
          <w:sz w:val="24"/>
          <w:szCs w:val="24"/>
        </w:rPr>
      </w:pPr>
      <w:r w:rsidRPr="00535194">
        <w:rPr>
          <w:sz w:val="24"/>
          <w:szCs w:val="24"/>
        </w:rPr>
        <w:t>Pension increases</w:t>
      </w:r>
    </w:p>
    <w:p w14:paraId="2A8CD909" w14:textId="6069D3EB" w:rsidR="004F3E00" w:rsidRPr="00535194" w:rsidRDefault="00556D4F" w:rsidP="004F3E00">
      <w:pPr>
        <w:pStyle w:val="BodyTextGrey"/>
        <w:rPr>
          <w:sz w:val="24"/>
          <w:szCs w:val="24"/>
        </w:rPr>
      </w:pPr>
      <w:r w:rsidRPr="00535194">
        <w:rPr>
          <w:sz w:val="24"/>
          <w:szCs w:val="24"/>
        </w:rPr>
        <w:t>Since 2011</w:t>
      </w:r>
      <w:r w:rsidR="004F3E00" w:rsidRPr="00535194">
        <w:rPr>
          <w:sz w:val="24"/>
          <w:szCs w:val="24"/>
        </w:rPr>
        <w:t xml:space="preserve"> the consumer prices index (CPI)</w:t>
      </w:r>
      <w:r w:rsidRPr="00535194">
        <w:rPr>
          <w:sz w:val="24"/>
          <w:szCs w:val="24"/>
        </w:rPr>
        <w:t>,</w:t>
      </w:r>
      <w:r w:rsidR="004F3E00" w:rsidRPr="00535194">
        <w:rPr>
          <w:sz w:val="24"/>
          <w:szCs w:val="24"/>
        </w:rPr>
        <w:t xml:space="preserve"> rather than RPI</w:t>
      </w:r>
      <w:r w:rsidRPr="00535194">
        <w:rPr>
          <w:sz w:val="24"/>
          <w:szCs w:val="24"/>
        </w:rPr>
        <w:t>,</w:t>
      </w:r>
      <w:r w:rsidR="004F3E00" w:rsidRPr="00535194">
        <w:rPr>
          <w:sz w:val="24"/>
          <w:szCs w:val="24"/>
        </w:rPr>
        <w:t xml:space="preserve"> </w:t>
      </w:r>
      <w:r w:rsidRPr="00535194">
        <w:rPr>
          <w:sz w:val="24"/>
          <w:szCs w:val="24"/>
        </w:rPr>
        <w:t xml:space="preserve">has been </w:t>
      </w:r>
      <w:r w:rsidR="004F3E00" w:rsidRPr="00535194">
        <w:rPr>
          <w:sz w:val="24"/>
          <w:szCs w:val="24"/>
        </w:rPr>
        <w:t xml:space="preserve">the basis for increases to public sector pensions in deferment and in payment.  </w:t>
      </w:r>
      <w:r w:rsidRPr="00535194">
        <w:rPr>
          <w:sz w:val="24"/>
          <w:szCs w:val="24"/>
        </w:rPr>
        <w:t>Note that the basis of such increases is set by the Government, and is not under the control of the Fund or any employers.</w:t>
      </w:r>
    </w:p>
    <w:p w14:paraId="786EF9CB" w14:textId="1E403A66" w:rsidR="004F3E00" w:rsidRPr="00535194" w:rsidRDefault="004F3E00" w:rsidP="004F3E00">
      <w:pPr>
        <w:pStyle w:val="BodyTextGrey"/>
        <w:rPr>
          <w:sz w:val="24"/>
          <w:szCs w:val="24"/>
        </w:rPr>
      </w:pPr>
      <w:r w:rsidRPr="00535194">
        <w:rPr>
          <w:sz w:val="24"/>
          <w:szCs w:val="24"/>
        </w:rPr>
        <w:t>A</w:t>
      </w:r>
      <w:r w:rsidR="007A4A66" w:rsidRPr="00535194">
        <w:rPr>
          <w:sz w:val="24"/>
          <w:szCs w:val="24"/>
        </w:rPr>
        <w:t>s a</w:t>
      </w:r>
      <w:r w:rsidRPr="00535194">
        <w:rPr>
          <w:sz w:val="24"/>
          <w:szCs w:val="24"/>
        </w:rPr>
        <w:t>t the previous valuation,</w:t>
      </w:r>
      <w:r w:rsidR="007A4A66" w:rsidRPr="00535194">
        <w:rPr>
          <w:sz w:val="24"/>
          <w:szCs w:val="24"/>
        </w:rPr>
        <w:t xml:space="preserve"> we derive</w:t>
      </w:r>
      <w:r w:rsidR="00556D4F" w:rsidRPr="00535194">
        <w:rPr>
          <w:sz w:val="24"/>
          <w:szCs w:val="24"/>
        </w:rPr>
        <w:t xml:space="preserve"> our assumption for R</w:t>
      </w:r>
      <w:r w:rsidRPr="00535194">
        <w:rPr>
          <w:sz w:val="24"/>
          <w:szCs w:val="24"/>
        </w:rPr>
        <w:t xml:space="preserve">PI from market data as the difference between the yield on long-dated fixed interest and index-linked government bonds.  </w:t>
      </w:r>
      <w:r w:rsidR="007A4A66" w:rsidRPr="00535194">
        <w:rPr>
          <w:sz w:val="24"/>
          <w:szCs w:val="24"/>
        </w:rPr>
        <w:t>This is then reduced to arrive at the CPI assumption, to allow for the “formula effect” of the difference between RPI and CPI.</w:t>
      </w:r>
      <w:r w:rsidR="00187CF8" w:rsidRPr="00535194">
        <w:rPr>
          <w:sz w:val="24"/>
          <w:szCs w:val="24"/>
        </w:rPr>
        <w:t xml:space="preserve"> </w:t>
      </w:r>
      <w:r w:rsidR="00896A21" w:rsidRPr="00535194">
        <w:rPr>
          <w:sz w:val="24"/>
          <w:szCs w:val="24"/>
        </w:rPr>
        <w:t>At this valuation, we have continued to assume that CPI is 1.0% per annum lower than RPI</w:t>
      </w:r>
      <w:r w:rsidRPr="00535194">
        <w:rPr>
          <w:sz w:val="24"/>
          <w:szCs w:val="24"/>
        </w:rPr>
        <w:t xml:space="preserve">  </w:t>
      </w:r>
      <w:r w:rsidR="005D4C20" w:rsidRPr="00535194">
        <w:rPr>
          <w:sz w:val="24"/>
          <w:szCs w:val="24"/>
        </w:rPr>
        <w:t>(Note that the reduction is applied in a geometric, not arithmetic, basis).</w:t>
      </w:r>
    </w:p>
    <w:p w14:paraId="5471E48B" w14:textId="77777777" w:rsidR="004F3E00" w:rsidRPr="00535194" w:rsidRDefault="004F3E00" w:rsidP="00C728B0">
      <w:pPr>
        <w:pStyle w:val="Appendix3"/>
        <w:numPr>
          <w:ilvl w:val="0"/>
          <w:numId w:val="18"/>
        </w:numPr>
        <w:rPr>
          <w:sz w:val="24"/>
          <w:szCs w:val="24"/>
        </w:rPr>
      </w:pPr>
      <w:r w:rsidRPr="00535194">
        <w:rPr>
          <w:sz w:val="24"/>
          <w:szCs w:val="24"/>
        </w:rPr>
        <w:t>Life expectancy</w:t>
      </w:r>
    </w:p>
    <w:p w14:paraId="305995D1" w14:textId="77777777" w:rsidR="004F3E00" w:rsidRPr="00535194" w:rsidRDefault="004F3E00" w:rsidP="004F3E00">
      <w:pPr>
        <w:pStyle w:val="BodyTextGrey"/>
        <w:rPr>
          <w:sz w:val="24"/>
          <w:szCs w:val="24"/>
        </w:rPr>
      </w:pPr>
      <w:r w:rsidRPr="00535194">
        <w:rPr>
          <w:sz w:val="24"/>
          <w:szCs w:val="24"/>
        </w:rPr>
        <w:t xml:space="preserve">The demographic assumptions are intended to be best estimates of future experience in the Fund based on past experience of LGPS funds which participate in Club Vita, the longevity analytics service used by the Fund, and endorsed by the actuary.  </w:t>
      </w:r>
    </w:p>
    <w:p w14:paraId="77D54D49" w14:textId="77777777" w:rsidR="004F3E00" w:rsidRPr="00535194" w:rsidRDefault="004F3E00" w:rsidP="004F3E00">
      <w:pPr>
        <w:pStyle w:val="BodyTextGrey"/>
        <w:rPr>
          <w:sz w:val="24"/>
          <w:szCs w:val="24"/>
        </w:rPr>
      </w:pPr>
      <w:r w:rsidRPr="00535194">
        <w:rPr>
          <w:sz w:val="24"/>
          <w:szCs w:val="24"/>
        </w:rPr>
        <w:t>The longevity assumptions that have been adopted at this valuation are a bespoke set of “</w:t>
      </w:r>
      <w:proofErr w:type="spellStart"/>
      <w:r w:rsidRPr="00535194">
        <w:rPr>
          <w:sz w:val="24"/>
          <w:szCs w:val="24"/>
        </w:rPr>
        <w:t>VitaCurves</w:t>
      </w:r>
      <w:proofErr w:type="spellEnd"/>
      <w:r w:rsidRPr="00535194">
        <w:rPr>
          <w:sz w:val="24"/>
          <w:szCs w:val="24"/>
        </w:rPr>
        <w:t xml:space="preserve">”, produced by the Club Vita’s detailed analysis, which are specifically tailored to fit the membership profile of the Fund.  These curves are based on the data provided by the Fund for the purposes of this valuation. </w:t>
      </w:r>
    </w:p>
    <w:p w14:paraId="4D02EBF8" w14:textId="52750888" w:rsidR="004F3E00" w:rsidRPr="00535194" w:rsidRDefault="004F3E00" w:rsidP="004F3E00">
      <w:pPr>
        <w:pStyle w:val="BodyTextGrey"/>
        <w:rPr>
          <w:sz w:val="24"/>
          <w:szCs w:val="24"/>
        </w:rPr>
      </w:pPr>
      <w:r w:rsidRPr="00535194">
        <w:rPr>
          <w:sz w:val="24"/>
          <w:szCs w:val="24"/>
        </w:rPr>
        <w:t xml:space="preserve">Allowance has been made in the ongoing valuation basis for future improvements in line with </w:t>
      </w:r>
      <w:r w:rsidR="00DA39DB" w:rsidRPr="00535194">
        <w:rPr>
          <w:sz w:val="24"/>
          <w:szCs w:val="24"/>
        </w:rPr>
        <w:t>the 201</w:t>
      </w:r>
      <w:r w:rsidR="00896A21" w:rsidRPr="00535194">
        <w:rPr>
          <w:sz w:val="24"/>
          <w:szCs w:val="24"/>
        </w:rPr>
        <w:t>8</w:t>
      </w:r>
      <w:r w:rsidR="00DA39DB" w:rsidRPr="00535194">
        <w:rPr>
          <w:sz w:val="24"/>
          <w:szCs w:val="24"/>
        </w:rPr>
        <w:t xml:space="preserve"> version of the Continuous Mortality Investigation model published by the Actuaria</w:t>
      </w:r>
      <w:r w:rsidR="00460442" w:rsidRPr="00535194">
        <w:rPr>
          <w:sz w:val="24"/>
          <w:szCs w:val="24"/>
        </w:rPr>
        <w:t>l</w:t>
      </w:r>
      <w:r w:rsidR="00DA39DB" w:rsidRPr="00535194">
        <w:rPr>
          <w:sz w:val="24"/>
          <w:szCs w:val="24"/>
        </w:rPr>
        <w:t xml:space="preserve"> Profession</w:t>
      </w:r>
      <w:r w:rsidRPr="00535194">
        <w:rPr>
          <w:sz w:val="24"/>
          <w:szCs w:val="24"/>
        </w:rPr>
        <w:t xml:space="preserve"> and a 1</w:t>
      </w:r>
      <w:r w:rsidR="007A4A66" w:rsidRPr="00535194">
        <w:rPr>
          <w:sz w:val="24"/>
          <w:szCs w:val="24"/>
        </w:rPr>
        <w:t>.25</w:t>
      </w:r>
      <w:r w:rsidRPr="00535194">
        <w:rPr>
          <w:sz w:val="24"/>
          <w:szCs w:val="24"/>
        </w:rPr>
        <w:t xml:space="preserve">% </w:t>
      </w:r>
      <w:r w:rsidR="00786D64" w:rsidRPr="00535194">
        <w:rPr>
          <w:sz w:val="24"/>
          <w:szCs w:val="24"/>
        </w:rPr>
        <w:t>per annum</w:t>
      </w:r>
      <w:r w:rsidRPr="00535194">
        <w:rPr>
          <w:sz w:val="24"/>
          <w:szCs w:val="24"/>
        </w:rPr>
        <w:t xml:space="preserve"> minimum underpin to future reductions in mortality rates. </w:t>
      </w:r>
      <w:r w:rsidR="009E2008" w:rsidRPr="00535194">
        <w:rPr>
          <w:sz w:val="24"/>
          <w:szCs w:val="24"/>
        </w:rPr>
        <w:t xml:space="preserve"> </w:t>
      </w:r>
      <w:r w:rsidR="007A4A66" w:rsidRPr="00535194">
        <w:rPr>
          <w:sz w:val="24"/>
          <w:szCs w:val="24"/>
        </w:rPr>
        <w:t xml:space="preserve">This is a </w:t>
      </w:r>
      <w:r w:rsidR="00BF7986" w:rsidRPr="00535194">
        <w:rPr>
          <w:sz w:val="24"/>
          <w:szCs w:val="24"/>
        </w:rPr>
        <w:t xml:space="preserve">lower </w:t>
      </w:r>
      <w:r w:rsidR="007A4A66" w:rsidRPr="00535194">
        <w:rPr>
          <w:sz w:val="24"/>
          <w:szCs w:val="24"/>
        </w:rPr>
        <w:t>allowance for future improvements than was made in 201</w:t>
      </w:r>
      <w:r w:rsidR="00BF7986" w:rsidRPr="00535194">
        <w:rPr>
          <w:sz w:val="24"/>
          <w:szCs w:val="24"/>
        </w:rPr>
        <w:t>6</w:t>
      </w:r>
      <w:r w:rsidR="007A4A66" w:rsidRPr="00535194">
        <w:rPr>
          <w:sz w:val="24"/>
          <w:szCs w:val="24"/>
        </w:rPr>
        <w:t>.</w:t>
      </w:r>
    </w:p>
    <w:p w14:paraId="6C6CF7A4" w14:textId="3122D9A4" w:rsidR="00515676" w:rsidRPr="00535194" w:rsidRDefault="004F3E00" w:rsidP="0052118E">
      <w:pPr>
        <w:pStyle w:val="BodyTextGrey"/>
        <w:rPr>
          <w:b/>
          <w:sz w:val="24"/>
          <w:szCs w:val="24"/>
        </w:rPr>
      </w:pPr>
      <w:r w:rsidRPr="00535194">
        <w:rPr>
          <w:sz w:val="24"/>
          <w:szCs w:val="24"/>
        </w:rPr>
        <w:t xml:space="preserve">The approach taken is considered reasonable in light of the long term nature of the Fund and the assumed level of security underpinning members’ benefits.   </w:t>
      </w:r>
    </w:p>
    <w:p w14:paraId="5DF5ECB8" w14:textId="1EA2F3BA" w:rsidR="004F3E00" w:rsidRPr="00535194" w:rsidRDefault="004F3E00" w:rsidP="00C728B0">
      <w:pPr>
        <w:pStyle w:val="Appendix3"/>
        <w:numPr>
          <w:ilvl w:val="0"/>
          <w:numId w:val="18"/>
        </w:numPr>
        <w:rPr>
          <w:sz w:val="24"/>
          <w:szCs w:val="24"/>
        </w:rPr>
      </w:pPr>
      <w:r w:rsidRPr="00535194">
        <w:rPr>
          <w:sz w:val="24"/>
          <w:szCs w:val="24"/>
        </w:rPr>
        <w:t>General</w:t>
      </w:r>
    </w:p>
    <w:p w14:paraId="3E872430" w14:textId="21043D66" w:rsidR="004F3E00" w:rsidRPr="00535194" w:rsidRDefault="004F3E00" w:rsidP="004F3E00">
      <w:pPr>
        <w:pStyle w:val="BodyTextGrey"/>
        <w:rPr>
          <w:sz w:val="24"/>
          <w:szCs w:val="24"/>
        </w:rPr>
      </w:pPr>
      <w:r w:rsidRPr="00535194">
        <w:rPr>
          <w:sz w:val="24"/>
          <w:szCs w:val="24"/>
        </w:rPr>
        <w:t xml:space="preserve">The same financial assumptions are adopted for </w:t>
      </w:r>
      <w:r w:rsidR="00B917A0" w:rsidRPr="00535194">
        <w:rPr>
          <w:sz w:val="24"/>
          <w:szCs w:val="24"/>
        </w:rPr>
        <w:t xml:space="preserve">most </w:t>
      </w:r>
      <w:r w:rsidR="007A4A66" w:rsidRPr="00535194">
        <w:rPr>
          <w:sz w:val="24"/>
          <w:szCs w:val="24"/>
        </w:rPr>
        <w:t>employers</w:t>
      </w:r>
      <w:r w:rsidR="00896A21" w:rsidRPr="00535194">
        <w:rPr>
          <w:sz w:val="24"/>
          <w:szCs w:val="24"/>
        </w:rPr>
        <w:t xml:space="preserve"> (on the ongoing participation basis identified above), </w:t>
      </w:r>
      <w:r w:rsidR="007A4A66" w:rsidRPr="00535194">
        <w:rPr>
          <w:sz w:val="24"/>
          <w:szCs w:val="24"/>
        </w:rPr>
        <w:t xml:space="preserve">in deriving the </w:t>
      </w:r>
      <w:r w:rsidR="00B917A0" w:rsidRPr="00535194">
        <w:rPr>
          <w:sz w:val="24"/>
          <w:szCs w:val="24"/>
        </w:rPr>
        <w:t xml:space="preserve">funding target underpinning the Primary and Secondary </w:t>
      </w:r>
      <w:r w:rsidR="007A4A66" w:rsidRPr="00535194">
        <w:rPr>
          <w:sz w:val="24"/>
          <w:szCs w:val="24"/>
        </w:rPr>
        <w:t>rate</w:t>
      </w:r>
      <w:r w:rsidR="00B917A0" w:rsidRPr="00535194">
        <w:rPr>
          <w:sz w:val="24"/>
          <w:szCs w:val="24"/>
        </w:rPr>
        <w:t>s</w:t>
      </w:r>
      <w:r w:rsidR="007A4A66" w:rsidRPr="00535194">
        <w:rPr>
          <w:sz w:val="24"/>
          <w:szCs w:val="24"/>
        </w:rPr>
        <w:t xml:space="preserve">: as described in </w:t>
      </w:r>
      <w:r w:rsidR="00AD4553" w:rsidRPr="00535194">
        <w:rPr>
          <w:sz w:val="24"/>
          <w:szCs w:val="24"/>
        </w:rPr>
        <w:t>(</w:t>
      </w:r>
      <w:hyperlink w:anchor="TheDifferentApproachesUsedForDiffEmps3_3" w:history="1">
        <w:r w:rsidR="007A4A66" w:rsidRPr="00535194">
          <w:rPr>
            <w:rStyle w:val="Hyperlink"/>
            <w:sz w:val="24"/>
            <w:szCs w:val="24"/>
          </w:rPr>
          <w:t>3.3</w:t>
        </w:r>
      </w:hyperlink>
      <w:r w:rsidR="00AD4553" w:rsidRPr="00535194">
        <w:rPr>
          <w:sz w:val="24"/>
          <w:szCs w:val="24"/>
        </w:rPr>
        <w:t>)</w:t>
      </w:r>
      <w:r w:rsidR="007A4A66" w:rsidRPr="00535194">
        <w:rPr>
          <w:sz w:val="24"/>
          <w:szCs w:val="24"/>
        </w:rPr>
        <w:t>, these calculated figures are translated in different ways into employer contributions, depending on the employer’s circumstances.</w:t>
      </w:r>
    </w:p>
    <w:p w14:paraId="240CDFD7" w14:textId="1A4F3755" w:rsidR="00BE5E13" w:rsidRDefault="004F3E00" w:rsidP="0052118E">
      <w:pPr>
        <w:pStyle w:val="BodyTextGrey"/>
      </w:pPr>
      <w:r w:rsidRPr="00535194">
        <w:rPr>
          <w:sz w:val="24"/>
          <w:szCs w:val="24"/>
        </w:rPr>
        <w:t>The demographic assumptions</w:t>
      </w:r>
      <w:r w:rsidR="007A4A66" w:rsidRPr="00535194">
        <w:rPr>
          <w:sz w:val="24"/>
          <w:szCs w:val="24"/>
        </w:rPr>
        <w:t>, in particular the life expectancy assumption, in effect</w:t>
      </w:r>
      <w:r w:rsidRPr="00535194">
        <w:rPr>
          <w:sz w:val="24"/>
          <w:szCs w:val="24"/>
        </w:rPr>
        <w:t xml:space="preserve"> vary by </w:t>
      </w:r>
      <w:r w:rsidR="00760F5D">
        <w:rPr>
          <w:sz w:val="24"/>
          <w:szCs w:val="24"/>
        </w:rPr>
        <w:t xml:space="preserve"> </w:t>
      </w:r>
      <w:r w:rsidRPr="00535194">
        <w:rPr>
          <w:sz w:val="24"/>
          <w:szCs w:val="24"/>
        </w:rPr>
        <w:t>type of member and so reflect the different membership profiles of employers.</w:t>
      </w:r>
    </w:p>
    <w:p w14:paraId="1CF3F2DB" w14:textId="77777777" w:rsidR="00BE5E13" w:rsidRDefault="00BE5E13" w:rsidP="00BE5E13">
      <w:pPr>
        <w:pStyle w:val="Appendix1"/>
      </w:pPr>
      <w:bookmarkStart w:id="53" w:name="_Toc357155097"/>
      <w:bookmarkStart w:id="54" w:name="AppendixF"/>
      <w:r>
        <w:lastRenderedPageBreak/>
        <w:t>Appendix F – Glossary</w:t>
      </w:r>
      <w:bookmarkEnd w:id="53"/>
    </w:p>
    <w:tbl>
      <w:tblPr>
        <w:tblW w:w="9747" w:type="dxa"/>
        <w:tblLayout w:type="fixed"/>
        <w:tblLook w:val="04A0" w:firstRow="1" w:lastRow="0" w:firstColumn="1" w:lastColumn="0" w:noHBand="0" w:noVBand="1"/>
      </w:tblPr>
      <w:tblGrid>
        <w:gridCol w:w="2093"/>
        <w:gridCol w:w="7654"/>
      </w:tblGrid>
      <w:tr w:rsidR="00A019A7" w:rsidRPr="00741EED" w14:paraId="48862DAD" w14:textId="77777777" w:rsidTr="009B7C3E">
        <w:tc>
          <w:tcPr>
            <w:tcW w:w="2093" w:type="dxa"/>
            <w:shd w:val="clear" w:color="auto" w:fill="auto"/>
          </w:tcPr>
          <w:bookmarkEnd w:id="54"/>
          <w:p w14:paraId="7767FD5F" w14:textId="77777777" w:rsidR="00A019A7" w:rsidRPr="00535194" w:rsidRDefault="00A019A7" w:rsidP="00707DC7">
            <w:pPr>
              <w:pStyle w:val="BodyTextGrey"/>
              <w:rPr>
                <w:b/>
                <w:sz w:val="24"/>
                <w:szCs w:val="24"/>
              </w:rPr>
            </w:pPr>
            <w:r w:rsidRPr="00535194">
              <w:rPr>
                <w:b/>
                <w:sz w:val="24"/>
                <w:szCs w:val="24"/>
              </w:rPr>
              <w:t>Administering Authority</w:t>
            </w:r>
          </w:p>
        </w:tc>
        <w:tc>
          <w:tcPr>
            <w:tcW w:w="7654" w:type="dxa"/>
            <w:shd w:val="clear" w:color="auto" w:fill="auto"/>
          </w:tcPr>
          <w:p w14:paraId="6B70269C" w14:textId="77777777" w:rsidR="00A019A7" w:rsidRPr="00535194" w:rsidRDefault="00B825B6" w:rsidP="00707DC7">
            <w:pPr>
              <w:pStyle w:val="BodyTextGrey"/>
              <w:rPr>
                <w:sz w:val="24"/>
                <w:szCs w:val="24"/>
              </w:rPr>
            </w:pPr>
            <w:r w:rsidRPr="00535194">
              <w:rPr>
                <w:sz w:val="24"/>
                <w:szCs w:val="24"/>
              </w:rPr>
              <w:t>The council with statutory responsibility for running the Fund, in effect the Fund’s “trustees”.</w:t>
            </w:r>
          </w:p>
        </w:tc>
      </w:tr>
      <w:tr w:rsidR="00A019A7" w:rsidRPr="00741EED" w14:paraId="718C8C9E" w14:textId="77777777" w:rsidTr="009B7C3E">
        <w:tc>
          <w:tcPr>
            <w:tcW w:w="2093" w:type="dxa"/>
            <w:shd w:val="clear" w:color="auto" w:fill="auto"/>
          </w:tcPr>
          <w:p w14:paraId="5E931B30" w14:textId="77777777" w:rsidR="00A019A7" w:rsidRPr="00535194" w:rsidRDefault="00A019A7" w:rsidP="00707DC7">
            <w:pPr>
              <w:pStyle w:val="BodyTextGrey"/>
              <w:rPr>
                <w:b/>
                <w:sz w:val="24"/>
                <w:szCs w:val="24"/>
              </w:rPr>
            </w:pPr>
            <w:r w:rsidRPr="00535194">
              <w:rPr>
                <w:b/>
                <w:sz w:val="24"/>
                <w:szCs w:val="24"/>
              </w:rPr>
              <w:t>Admission Bodies</w:t>
            </w:r>
          </w:p>
        </w:tc>
        <w:tc>
          <w:tcPr>
            <w:tcW w:w="7654" w:type="dxa"/>
            <w:shd w:val="clear" w:color="auto" w:fill="auto"/>
          </w:tcPr>
          <w:p w14:paraId="4C86FC5E" w14:textId="4E2EBCF9" w:rsidR="00A019A7" w:rsidRPr="00535194" w:rsidRDefault="00B825B6" w:rsidP="00DA39DB">
            <w:pPr>
              <w:pStyle w:val="BodyTextGrey"/>
              <w:rPr>
                <w:sz w:val="24"/>
                <w:szCs w:val="24"/>
              </w:rPr>
            </w:pPr>
            <w:r w:rsidRPr="00535194">
              <w:rPr>
                <w:sz w:val="24"/>
                <w:szCs w:val="24"/>
              </w:rPr>
              <w:t xml:space="preserve">Employers </w:t>
            </w:r>
            <w:r w:rsidR="00DA39DB" w:rsidRPr="00535194">
              <w:rPr>
                <w:sz w:val="24"/>
                <w:szCs w:val="24"/>
              </w:rPr>
              <w:t>where there is</w:t>
            </w:r>
            <w:r w:rsidRPr="00535194">
              <w:rPr>
                <w:sz w:val="24"/>
                <w:szCs w:val="24"/>
              </w:rPr>
              <w:t xml:space="preserve"> an Admission Agreement setting out the employer’s obligations. </w:t>
            </w:r>
            <w:r w:rsidR="00933B37" w:rsidRPr="00535194">
              <w:rPr>
                <w:sz w:val="24"/>
                <w:szCs w:val="24"/>
              </w:rPr>
              <w:t>These can be Community Admission Bodies or Transferee Admission Bodies.</w:t>
            </w:r>
            <w:r w:rsidRPr="00535194">
              <w:rPr>
                <w:sz w:val="24"/>
                <w:szCs w:val="24"/>
              </w:rPr>
              <w:t xml:space="preserve"> For more details </w:t>
            </w:r>
            <w:r w:rsidR="00AD4553" w:rsidRPr="00535194">
              <w:rPr>
                <w:sz w:val="24"/>
                <w:szCs w:val="24"/>
              </w:rPr>
              <w:t>(</w:t>
            </w:r>
            <w:r w:rsidRPr="00535194">
              <w:rPr>
                <w:sz w:val="24"/>
                <w:szCs w:val="24"/>
              </w:rPr>
              <w:t xml:space="preserve">see </w:t>
            </w:r>
            <w:hyperlink w:anchor="whatdifferenttypesof" w:history="1">
              <w:r w:rsidR="001E0C2B" w:rsidRPr="00535194">
                <w:rPr>
                  <w:rStyle w:val="Hyperlink"/>
                  <w:sz w:val="24"/>
                  <w:szCs w:val="24"/>
                </w:rPr>
                <w:t>2.</w:t>
              </w:r>
              <w:r w:rsidR="00DA39DB" w:rsidRPr="00535194">
                <w:rPr>
                  <w:rStyle w:val="Hyperlink"/>
                  <w:sz w:val="24"/>
                  <w:szCs w:val="24"/>
                </w:rPr>
                <w:t>3</w:t>
              </w:r>
            </w:hyperlink>
            <w:r w:rsidR="00AD4553" w:rsidRPr="00535194">
              <w:rPr>
                <w:sz w:val="24"/>
                <w:szCs w:val="24"/>
              </w:rPr>
              <w:t>)</w:t>
            </w:r>
            <w:r w:rsidRPr="00535194">
              <w:rPr>
                <w:sz w:val="24"/>
                <w:szCs w:val="24"/>
              </w:rPr>
              <w:t>.</w:t>
            </w:r>
          </w:p>
        </w:tc>
      </w:tr>
      <w:tr w:rsidR="005362C0" w:rsidRPr="00741EED" w14:paraId="29B8563E" w14:textId="77777777" w:rsidTr="009B7C3E">
        <w:tc>
          <w:tcPr>
            <w:tcW w:w="2093" w:type="dxa"/>
            <w:shd w:val="clear" w:color="auto" w:fill="auto"/>
          </w:tcPr>
          <w:p w14:paraId="4F83172A" w14:textId="77777777" w:rsidR="005362C0" w:rsidRPr="00535194" w:rsidRDefault="005362C0" w:rsidP="00707DC7">
            <w:pPr>
              <w:pStyle w:val="BodyTextGrey"/>
              <w:rPr>
                <w:b/>
                <w:sz w:val="24"/>
                <w:szCs w:val="24"/>
              </w:rPr>
            </w:pPr>
            <w:r w:rsidRPr="00535194">
              <w:rPr>
                <w:b/>
                <w:sz w:val="24"/>
                <w:szCs w:val="24"/>
              </w:rPr>
              <w:t>Covenant</w:t>
            </w:r>
          </w:p>
        </w:tc>
        <w:tc>
          <w:tcPr>
            <w:tcW w:w="7654" w:type="dxa"/>
            <w:shd w:val="clear" w:color="auto" w:fill="auto"/>
          </w:tcPr>
          <w:p w14:paraId="731C8F74" w14:textId="77777777" w:rsidR="005362C0" w:rsidRPr="00535194" w:rsidRDefault="005362C0" w:rsidP="00B94F71">
            <w:pPr>
              <w:pStyle w:val="BodyTextGrey"/>
              <w:rPr>
                <w:sz w:val="24"/>
                <w:szCs w:val="24"/>
              </w:rPr>
            </w:pPr>
            <w:r w:rsidRPr="00535194">
              <w:rPr>
                <w:sz w:val="24"/>
                <w:szCs w:val="24"/>
              </w:rPr>
              <w:t>The assessed financial strength of the employer. A strong covenant indicates a greater ability (and willingness) to pay for pension obligations in the long run. A weaker covenant means that it appears that the employer may have difficulties meeting its pension obligations in full over the longer term.</w:t>
            </w:r>
          </w:p>
        </w:tc>
      </w:tr>
      <w:tr w:rsidR="00A738F6" w:rsidRPr="00741EED" w14:paraId="0B3EBC27" w14:textId="77777777" w:rsidTr="009B7C3E">
        <w:tc>
          <w:tcPr>
            <w:tcW w:w="2093" w:type="dxa"/>
            <w:shd w:val="clear" w:color="auto" w:fill="auto"/>
          </w:tcPr>
          <w:p w14:paraId="6C3630DB" w14:textId="77777777" w:rsidR="00A738F6" w:rsidRPr="00535194" w:rsidRDefault="00A738F6" w:rsidP="00707DC7">
            <w:pPr>
              <w:pStyle w:val="BodyTextGrey"/>
              <w:rPr>
                <w:b/>
                <w:sz w:val="24"/>
                <w:szCs w:val="24"/>
              </w:rPr>
            </w:pPr>
            <w:r w:rsidRPr="00535194">
              <w:rPr>
                <w:b/>
                <w:sz w:val="24"/>
                <w:szCs w:val="24"/>
              </w:rPr>
              <w:t>Designating Employer</w:t>
            </w:r>
          </w:p>
        </w:tc>
        <w:tc>
          <w:tcPr>
            <w:tcW w:w="7654" w:type="dxa"/>
            <w:shd w:val="clear" w:color="auto" w:fill="auto"/>
          </w:tcPr>
          <w:p w14:paraId="75FD2343" w14:textId="77777777" w:rsidR="00A738F6" w:rsidRPr="00535194" w:rsidRDefault="00A738F6" w:rsidP="00140C88">
            <w:pPr>
              <w:pStyle w:val="BodyTextGrey"/>
              <w:rPr>
                <w:sz w:val="24"/>
                <w:szCs w:val="24"/>
              </w:rPr>
            </w:pPr>
            <w:r w:rsidRPr="00535194">
              <w:rPr>
                <w:sz w:val="24"/>
                <w:szCs w:val="24"/>
              </w:rPr>
              <w:t xml:space="preserve">Employers such as town and parish councils that are able to participate in the LGPS via resolution.  These employers can designate which of their employees are eligible to join the </w:t>
            </w:r>
            <w:r w:rsidR="00140C88" w:rsidRPr="00535194">
              <w:rPr>
                <w:sz w:val="24"/>
                <w:szCs w:val="24"/>
              </w:rPr>
              <w:t>Fund</w:t>
            </w:r>
            <w:r w:rsidRPr="00535194">
              <w:rPr>
                <w:sz w:val="24"/>
                <w:szCs w:val="24"/>
              </w:rPr>
              <w:t>.</w:t>
            </w:r>
          </w:p>
        </w:tc>
      </w:tr>
      <w:tr w:rsidR="00707DC7" w:rsidRPr="00741EED" w14:paraId="5D3494D2" w14:textId="77777777" w:rsidTr="009B7C3E">
        <w:tc>
          <w:tcPr>
            <w:tcW w:w="2093" w:type="dxa"/>
            <w:shd w:val="clear" w:color="auto" w:fill="auto"/>
          </w:tcPr>
          <w:p w14:paraId="335F0751" w14:textId="77777777" w:rsidR="00707DC7" w:rsidRPr="00535194" w:rsidRDefault="00707DC7" w:rsidP="00707DC7">
            <w:pPr>
              <w:pStyle w:val="BodyTextGrey"/>
              <w:rPr>
                <w:b/>
                <w:sz w:val="24"/>
                <w:szCs w:val="24"/>
              </w:rPr>
            </w:pPr>
            <w:r w:rsidRPr="00535194">
              <w:rPr>
                <w:b/>
                <w:sz w:val="24"/>
                <w:szCs w:val="24"/>
              </w:rPr>
              <w:t>Employer</w:t>
            </w:r>
          </w:p>
        </w:tc>
        <w:tc>
          <w:tcPr>
            <w:tcW w:w="7654" w:type="dxa"/>
            <w:shd w:val="clear" w:color="auto" w:fill="auto"/>
          </w:tcPr>
          <w:p w14:paraId="5FA878F1" w14:textId="30E7E650" w:rsidR="00707DC7" w:rsidRPr="00535194" w:rsidRDefault="00707DC7" w:rsidP="00933B37">
            <w:pPr>
              <w:pStyle w:val="BodyTextGrey"/>
              <w:rPr>
                <w:sz w:val="24"/>
                <w:szCs w:val="24"/>
              </w:rPr>
            </w:pPr>
            <w:r w:rsidRPr="00535194">
              <w:rPr>
                <w:sz w:val="24"/>
                <w:szCs w:val="24"/>
              </w:rPr>
              <w:t xml:space="preserve">An individual participating body in the Fund, which employs (or used to employ) </w:t>
            </w:r>
            <w:r w:rsidRPr="00535194">
              <w:rPr>
                <w:b/>
                <w:sz w:val="24"/>
                <w:szCs w:val="24"/>
              </w:rPr>
              <w:t>members</w:t>
            </w:r>
            <w:r w:rsidRPr="00535194">
              <w:rPr>
                <w:sz w:val="24"/>
                <w:szCs w:val="24"/>
              </w:rPr>
              <w:t xml:space="preserve"> of the Fund.  Normally the assets and </w:t>
            </w:r>
            <w:r w:rsidR="00933B37" w:rsidRPr="00535194">
              <w:rPr>
                <w:b/>
                <w:sz w:val="24"/>
                <w:szCs w:val="24"/>
              </w:rPr>
              <w:t>funding target</w:t>
            </w:r>
            <w:r w:rsidR="00933B37" w:rsidRPr="00535194">
              <w:rPr>
                <w:sz w:val="24"/>
                <w:szCs w:val="24"/>
              </w:rPr>
              <w:t xml:space="preserve"> </w:t>
            </w:r>
            <w:r w:rsidRPr="00535194">
              <w:rPr>
                <w:sz w:val="24"/>
                <w:szCs w:val="24"/>
              </w:rPr>
              <w:t xml:space="preserve">values for each employer are individually tracked, together with its </w:t>
            </w:r>
            <w:r w:rsidR="00933B37" w:rsidRPr="00535194">
              <w:rPr>
                <w:b/>
                <w:sz w:val="24"/>
                <w:szCs w:val="24"/>
              </w:rPr>
              <w:t>Primary</w:t>
            </w:r>
            <w:r w:rsidRPr="00535194">
              <w:rPr>
                <w:b/>
                <w:sz w:val="24"/>
                <w:szCs w:val="24"/>
              </w:rPr>
              <w:t xml:space="preserve"> rate</w:t>
            </w:r>
            <w:r w:rsidRPr="00535194">
              <w:rPr>
                <w:sz w:val="24"/>
                <w:szCs w:val="24"/>
              </w:rPr>
              <w:t xml:space="preserve"> at each </w:t>
            </w:r>
            <w:r w:rsidRPr="00535194">
              <w:rPr>
                <w:b/>
                <w:sz w:val="24"/>
                <w:szCs w:val="24"/>
              </w:rPr>
              <w:t>valuation</w:t>
            </w:r>
            <w:r w:rsidRPr="00535194">
              <w:rPr>
                <w:sz w:val="24"/>
                <w:szCs w:val="24"/>
              </w:rPr>
              <w:t xml:space="preserve">. </w:t>
            </w:r>
          </w:p>
        </w:tc>
      </w:tr>
      <w:tr w:rsidR="00E7232E" w:rsidRPr="0055787B" w14:paraId="6CD63CE0" w14:textId="77777777" w:rsidTr="00E7232E">
        <w:tc>
          <w:tcPr>
            <w:tcW w:w="2093" w:type="dxa"/>
            <w:shd w:val="clear" w:color="auto" w:fill="auto"/>
          </w:tcPr>
          <w:p w14:paraId="6AC373A2" w14:textId="77777777" w:rsidR="00E7232E" w:rsidRPr="00535194" w:rsidRDefault="00E7232E" w:rsidP="0044553B">
            <w:pPr>
              <w:pStyle w:val="BodyTextGrey"/>
              <w:rPr>
                <w:b/>
                <w:sz w:val="24"/>
                <w:szCs w:val="24"/>
              </w:rPr>
            </w:pPr>
            <w:r w:rsidRPr="00535194">
              <w:rPr>
                <w:b/>
                <w:sz w:val="24"/>
                <w:szCs w:val="24"/>
              </w:rPr>
              <w:t>Funding basis</w:t>
            </w:r>
          </w:p>
        </w:tc>
        <w:tc>
          <w:tcPr>
            <w:tcW w:w="7654" w:type="dxa"/>
            <w:shd w:val="clear" w:color="auto" w:fill="auto"/>
          </w:tcPr>
          <w:p w14:paraId="6738104D" w14:textId="77777777" w:rsidR="00E7232E" w:rsidRPr="00535194" w:rsidRDefault="00E7232E" w:rsidP="0044553B">
            <w:pPr>
              <w:pStyle w:val="BodyTextGrey"/>
              <w:rPr>
                <w:sz w:val="24"/>
                <w:szCs w:val="24"/>
              </w:rPr>
            </w:pPr>
            <w:r w:rsidRPr="00535194">
              <w:rPr>
                <w:sz w:val="24"/>
                <w:szCs w:val="24"/>
              </w:rPr>
              <w:t xml:space="preserve">The combined set of assumptions made by the actuary, regarding the future, to calculate the value of the funding target at the end of the employer’s time horizon.    The main assumptions will relate to the level of future investment returns, salary growth, pension increases and longevity.  More prudent assumptions will give a higher funding target, whereas more optimistic assumptions will give a lower funding target. </w:t>
            </w:r>
          </w:p>
        </w:tc>
      </w:tr>
      <w:tr w:rsidR="00107C1C" w:rsidRPr="00741EED" w14:paraId="512DD44A" w14:textId="77777777" w:rsidTr="009B7C3E">
        <w:tc>
          <w:tcPr>
            <w:tcW w:w="2093" w:type="dxa"/>
            <w:shd w:val="clear" w:color="auto" w:fill="auto"/>
          </w:tcPr>
          <w:p w14:paraId="3884459B" w14:textId="77777777" w:rsidR="00107C1C" w:rsidRPr="00535194" w:rsidRDefault="00107C1C" w:rsidP="00707DC7">
            <w:pPr>
              <w:pStyle w:val="BodyTextGrey"/>
              <w:rPr>
                <w:b/>
                <w:sz w:val="24"/>
                <w:szCs w:val="24"/>
              </w:rPr>
            </w:pPr>
            <w:r w:rsidRPr="00535194">
              <w:rPr>
                <w:b/>
                <w:sz w:val="24"/>
                <w:szCs w:val="24"/>
              </w:rPr>
              <w:t>Gilt</w:t>
            </w:r>
          </w:p>
        </w:tc>
        <w:tc>
          <w:tcPr>
            <w:tcW w:w="7654" w:type="dxa"/>
            <w:shd w:val="clear" w:color="auto" w:fill="auto"/>
          </w:tcPr>
          <w:p w14:paraId="456F12B7" w14:textId="0B9CB7BB" w:rsidR="00107C1C" w:rsidRPr="00535194" w:rsidRDefault="00107C1C" w:rsidP="00B94F71">
            <w:pPr>
              <w:pStyle w:val="BodyTextGrey"/>
              <w:rPr>
                <w:sz w:val="24"/>
                <w:szCs w:val="24"/>
              </w:rPr>
            </w:pPr>
            <w:r w:rsidRPr="00535194">
              <w:rPr>
                <w:sz w:val="24"/>
                <w:szCs w:val="24"/>
              </w:rPr>
              <w:t xml:space="preserve">A UK Government bond, </w:t>
            </w:r>
            <w:proofErr w:type="spellStart"/>
            <w:r w:rsidRPr="00535194">
              <w:rPr>
                <w:sz w:val="24"/>
                <w:szCs w:val="24"/>
              </w:rPr>
              <w:t>ie</w:t>
            </w:r>
            <w:proofErr w:type="spellEnd"/>
            <w:r w:rsidRPr="00535194">
              <w:rPr>
                <w:sz w:val="24"/>
                <w:szCs w:val="24"/>
              </w:rPr>
              <w:t xml:space="preserve"> a promise by the Government to pay interest and capital as per the terms of that particular gilt, in return for an initial payment of capital by the purchaser. Gilts can be “fixed interest”, where the interest payments are level throughout the gilt’s term, or “index-linked” where the interest payments vary each year in line with a specified index (usually RPI). Gilts can be bought as assets by the Fund, but </w:t>
            </w:r>
            <w:r w:rsidR="008C2382" w:rsidRPr="00535194">
              <w:rPr>
                <w:sz w:val="24"/>
                <w:szCs w:val="24"/>
              </w:rPr>
              <w:t xml:space="preserve">are also used </w:t>
            </w:r>
            <w:r w:rsidRPr="00535194">
              <w:rPr>
                <w:sz w:val="24"/>
                <w:szCs w:val="24"/>
              </w:rPr>
              <w:t>in funding as an objective measure of</w:t>
            </w:r>
            <w:r w:rsidR="008C2382" w:rsidRPr="00535194">
              <w:rPr>
                <w:sz w:val="24"/>
                <w:szCs w:val="24"/>
              </w:rPr>
              <w:t xml:space="preserve"> a risk-free rate of return</w:t>
            </w:r>
            <w:r w:rsidRPr="00535194">
              <w:rPr>
                <w:sz w:val="24"/>
                <w:szCs w:val="24"/>
              </w:rPr>
              <w:t>.</w:t>
            </w:r>
          </w:p>
        </w:tc>
      </w:tr>
      <w:tr w:rsidR="00107C1C" w:rsidRPr="00741EED" w14:paraId="7134F7F2" w14:textId="77777777" w:rsidTr="009B7C3E">
        <w:tc>
          <w:tcPr>
            <w:tcW w:w="2093" w:type="dxa"/>
            <w:shd w:val="clear" w:color="auto" w:fill="auto"/>
          </w:tcPr>
          <w:p w14:paraId="6636049B" w14:textId="77777777" w:rsidR="00107C1C" w:rsidRPr="00535194" w:rsidRDefault="00107C1C" w:rsidP="00707DC7">
            <w:pPr>
              <w:pStyle w:val="BodyTextGrey"/>
              <w:rPr>
                <w:b/>
                <w:sz w:val="24"/>
                <w:szCs w:val="24"/>
              </w:rPr>
            </w:pPr>
            <w:r w:rsidRPr="00535194">
              <w:rPr>
                <w:b/>
                <w:sz w:val="24"/>
                <w:szCs w:val="24"/>
              </w:rPr>
              <w:t>Guarantee / guarantor</w:t>
            </w:r>
          </w:p>
        </w:tc>
        <w:tc>
          <w:tcPr>
            <w:tcW w:w="7654" w:type="dxa"/>
            <w:shd w:val="clear" w:color="auto" w:fill="auto"/>
          </w:tcPr>
          <w:p w14:paraId="415B9376" w14:textId="77777777" w:rsidR="00107C1C" w:rsidRPr="00535194" w:rsidRDefault="00107C1C" w:rsidP="00B94F71">
            <w:pPr>
              <w:pStyle w:val="BodyTextGrey"/>
              <w:rPr>
                <w:sz w:val="24"/>
                <w:szCs w:val="24"/>
              </w:rPr>
            </w:pPr>
            <w:r w:rsidRPr="00535194">
              <w:rPr>
                <w:sz w:val="24"/>
                <w:szCs w:val="24"/>
              </w:rPr>
              <w:t xml:space="preserve">A formal promise by a third party (the guarantor) that it will meet any pension obligations not met by a specified employer. The presence of a guarantor will mean, for instance, that the Fund can consider the employer’s </w:t>
            </w:r>
            <w:r w:rsidRPr="00535194">
              <w:rPr>
                <w:b/>
                <w:sz w:val="24"/>
                <w:szCs w:val="24"/>
              </w:rPr>
              <w:t>covenant</w:t>
            </w:r>
            <w:r w:rsidRPr="00535194">
              <w:rPr>
                <w:sz w:val="24"/>
                <w:szCs w:val="24"/>
              </w:rPr>
              <w:t xml:space="preserve"> to be as strong as its guarantor’s.</w:t>
            </w:r>
          </w:p>
        </w:tc>
      </w:tr>
      <w:tr w:rsidR="005362C0" w:rsidRPr="00741EED" w14:paraId="6074C870" w14:textId="77777777" w:rsidTr="009B7C3E">
        <w:tc>
          <w:tcPr>
            <w:tcW w:w="2093" w:type="dxa"/>
            <w:shd w:val="clear" w:color="auto" w:fill="auto"/>
          </w:tcPr>
          <w:p w14:paraId="1818F634" w14:textId="77777777" w:rsidR="005362C0" w:rsidRPr="00535194" w:rsidRDefault="005362C0" w:rsidP="00707DC7">
            <w:pPr>
              <w:pStyle w:val="BodyTextGrey"/>
              <w:rPr>
                <w:b/>
                <w:sz w:val="24"/>
                <w:szCs w:val="24"/>
              </w:rPr>
            </w:pPr>
            <w:r w:rsidRPr="00535194">
              <w:rPr>
                <w:b/>
                <w:sz w:val="24"/>
                <w:szCs w:val="24"/>
              </w:rPr>
              <w:t>Letting employer</w:t>
            </w:r>
          </w:p>
        </w:tc>
        <w:tc>
          <w:tcPr>
            <w:tcW w:w="7654" w:type="dxa"/>
            <w:shd w:val="clear" w:color="auto" w:fill="auto"/>
          </w:tcPr>
          <w:p w14:paraId="10A9E2F7" w14:textId="77777777" w:rsidR="005362C0" w:rsidRPr="00535194" w:rsidRDefault="005362C0" w:rsidP="00707DC7">
            <w:pPr>
              <w:pStyle w:val="BodyTextGrey"/>
              <w:rPr>
                <w:sz w:val="24"/>
                <w:szCs w:val="24"/>
              </w:rPr>
            </w:pPr>
            <w:r w:rsidRPr="00535194">
              <w:rPr>
                <w:sz w:val="24"/>
                <w:szCs w:val="24"/>
              </w:rPr>
              <w:t xml:space="preserve">An employer which outsources or transfers a part of its services and workforce to another employer (usually a contractor). The contractor will pay towards the LGPS benefits accrued by the transferring members, but ultimately the obligation to pay for these benefits will </w:t>
            </w:r>
            <w:r w:rsidRPr="00535194">
              <w:rPr>
                <w:sz w:val="24"/>
                <w:szCs w:val="24"/>
              </w:rPr>
              <w:lastRenderedPageBreak/>
              <w:t>revert to the letting employer.</w:t>
            </w:r>
            <w:r w:rsidR="00107C1C" w:rsidRPr="00535194">
              <w:rPr>
                <w:sz w:val="24"/>
                <w:szCs w:val="24"/>
              </w:rPr>
              <w:t xml:space="preserve"> A letting employer will usually be a local authority, but can sometimes be another type of employer such as an Academy.</w:t>
            </w:r>
          </w:p>
        </w:tc>
      </w:tr>
      <w:tr w:rsidR="00707DC7" w:rsidRPr="00741EED" w14:paraId="2D43B45A" w14:textId="77777777" w:rsidTr="009B7C3E">
        <w:tc>
          <w:tcPr>
            <w:tcW w:w="2093" w:type="dxa"/>
            <w:shd w:val="clear" w:color="auto" w:fill="auto"/>
          </w:tcPr>
          <w:p w14:paraId="117CFFCC" w14:textId="77777777" w:rsidR="00707DC7" w:rsidRPr="00535194" w:rsidRDefault="00707DC7" w:rsidP="00707DC7">
            <w:pPr>
              <w:pStyle w:val="BodyTextGrey"/>
              <w:rPr>
                <w:b/>
                <w:sz w:val="24"/>
                <w:szCs w:val="24"/>
              </w:rPr>
            </w:pPr>
            <w:r w:rsidRPr="00535194">
              <w:rPr>
                <w:b/>
                <w:sz w:val="24"/>
                <w:szCs w:val="24"/>
              </w:rPr>
              <w:lastRenderedPageBreak/>
              <w:t>LGPS</w:t>
            </w:r>
          </w:p>
        </w:tc>
        <w:tc>
          <w:tcPr>
            <w:tcW w:w="7654" w:type="dxa"/>
            <w:shd w:val="clear" w:color="auto" w:fill="auto"/>
          </w:tcPr>
          <w:p w14:paraId="036DFB06" w14:textId="16413DDA" w:rsidR="00707DC7" w:rsidRPr="00535194" w:rsidRDefault="00707DC7" w:rsidP="003432B9">
            <w:pPr>
              <w:pStyle w:val="BodyTextGrey"/>
              <w:rPr>
                <w:sz w:val="24"/>
                <w:szCs w:val="24"/>
              </w:rPr>
            </w:pPr>
            <w:r w:rsidRPr="00535194">
              <w:rPr>
                <w:sz w:val="24"/>
                <w:szCs w:val="24"/>
              </w:rPr>
              <w:t>The Local Government Pension Scheme, a public sector pension arrangement put in place via Government Regulations, for workers in local government.  These Regulations also dictate eligibility (particularly for Scheduled Bodies), members’ contribution rates, benefit calculations and certain governance requirements.  The LGPS is divided into 10</w:t>
            </w:r>
            <w:r w:rsidR="008C2382" w:rsidRPr="00535194">
              <w:rPr>
                <w:sz w:val="24"/>
                <w:szCs w:val="24"/>
              </w:rPr>
              <w:t>0</w:t>
            </w:r>
            <w:r w:rsidRPr="00535194">
              <w:rPr>
                <w:sz w:val="24"/>
                <w:szCs w:val="24"/>
              </w:rPr>
              <w:t xml:space="preserve"> Funds which map the U</w:t>
            </w:r>
            <w:r w:rsidR="003432B9" w:rsidRPr="00535194">
              <w:rPr>
                <w:sz w:val="24"/>
                <w:szCs w:val="24"/>
              </w:rPr>
              <w:t xml:space="preserve">K.  </w:t>
            </w:r>
            <w:r w:rsidRPr="00535194">
              <w:rPr>
                <w:sz w:val="24"/>
                <w:szCs w:val="24"/>
              </w:rPr>
              <w:t xml:space="preserve">Each LGPS Fund is autonomous to the extent not dictated by Regulations, e.g. regarding investment strategy, employer contributions and choice of advisers. </w:t>
            </w:r>
          </w:p>
        </w:tc>
      </w:tr>
      <w:tr w:rsidR="00707DC7" w:rsidRPr="00741EED" w14:paraId="71F27FEE" w14:textId="77777777" w:rsidTr="009B7C3E">
        <w:tc>
          <w:tcPr>
            <w:tcW w:w="2093" w:type="dxa"/>
            <w:shd w:val="clear" w:color="auto" w:fill="auto"/>
          </w:tcPr>
          <w:p w14:paraId="196AA9C1" w14:textId="77777777" w:rsidR="00707DC7" w:rsidRPr="00535194" w:rsidRDefault="00707DC7" w:rsidP="00707DC7">
            <w:pPr>
              <w:pStyle w:val="BodyTextGrey"/>
              <w:rPr>
                <w:b/>
                <w:sz w:val="24"/>
                <w:szCs w:val="24"/>
              </w:rPr>
            </w:pPr>
            <w:r w:rsidRPr="00535194">
              <w:rPr>
                <w:b/>
                <w:sz w:val="24"/>
                <w:szCs w:val="24"/>
              </w:rPr>
              <w:t>Maturity</w:t>
            </w:r>
          </w:p>
        </w:tc>
        <w:tc>
          <w:tcPr>
            <w:tcW w:w="7654" w:type="dxa"/>
            <w:shd w:val="clear" w:color="auto" w:fill="auto"/>
          </w:tcPr>
          <w:p w14:paraId="2BFF0869" w14:textId="77777777" w:rsidR="00707DC7" w:rsidRPr="00535194" w:rsidRDefault="00707DC7" w:rsidP="00707DC7">
            <w:pPr>
              <w:pStyle w:val="BodyTextGrey"/>
              <w:rPr>
                <w:sz w:val="24"/>
                <w:szCs w:val="24"/>
              </w:rPr>
            </w:pPr>
            <w:r w:rsidRPr="00535194">
              <w:rPr>
                <w:sz w:val="24"/>
                <w:szCs w:val="24"/>
              </w:rPr>
              <w:t xml:space="preserve">A general term to describe a Fund (or an employer’s position within a Fund) where the members are closer to retirement (or more of them already retired) and the investment time horizon is shorter.  This has implications for investment strategy and, consequently, funding strategy. </w:t>
            </w:r>
          </w:p>
        </w:tc>
      </w:tr>
      <w:tr w:rsidR="00707DC7" w:rsidRPr="00741EED" w14:paraId="7ECAB6DE" w14:textId="77777777" w:rsidTr="009B7C3E">
        <w:tc>
          <w:tcPr>
            <w:tcW w:w="2093" w:type="dxa"/>
            <w:shd w:val="clear" w:color="auto" w:fill="auto"/>
          </w:tcPr>
          <w:p w14:paraId="7F22BADA" w14:textId="77777777" w:rsidR="00707DC7" w:rsidRPr="00535194" w:rsidRDefault="00707DC7" w:rsidP="00707DC7">
            <w:pPr>
              <w:pStyle w:val="BodyTextGrey"/>
              <w:rPr>
                <w:b/>
                <w:sz w:val="24"/>
                <w:szCs w:val="24"/>
              </w:rPr>
            </w:pPr>
            <w:r w:rsidRPr="00535194">
              <w:rPr>
                <w:b/>
                <w:sz w:val="24"/>
                <w:szCs w:val="24"/>
              </w:rPr>
              <w:t>Members</w:t>
            </w:r>
          </w:p>
        </w:tc>
        <w:tc>
          <w:tcPr>
            <w:tcW w:w="7654" w:type="dxa"/>
            <w:shd w:val="clear" w:color="auto" w:fill="auto"/>
          </w:tcPr>
          <w:p w14:paraId="726744E3" w14:textId="77777777" w:rsidR="00707DC7" w:rsidRPr="00535194" w:rsidRDefault="00707DC7" w:rsidP="00707DC7">
            <w:pPr>
              <w:pStyle w:val="BodyTextGrey"/>
              <w:rPr>
                <w:sz w:val="24"/>
                <w:szCs w:val="24"/>
              </w:rPr>
            </w:pPr>
            <w:r w:rsidRPr="00535194">
              <w:rPr>
                <w:sz w:val="24"/>
                <w:szCs w:val="24"/>
              </w:rPr>
              <w:t xml:space="preserve">The individuals who have built up (and may still be building up) entitlement in the Fund.  They are divided into actives (current employee members), deferreds (ex-employees who have not yet retired) and pensioners (ex-employees who have now retired, and dependants of deceased ex-employees). </w:t>
            </w:r>
          </w:p>
        </w:tc>
      </w:tr>
      <w:tr w:rsidR="005362C0" w:rsidRPr="00741EED" w14:paraId="3D961784" w14:textId="77777777" w:rsidTr="009B7C3E">
        <w:tc>
          <w:tcPr>
            <w:tcW w:w="2093" w:type="dxa"/>
            <w:shd w:val="clear" w:color="auto" w:fill="auto"/>
          </w:tcPr>
          <w:p w14:paraId="7980688A" w14:textId="179E005D" w:rsidR="005362C0" w:rsidRPr="00535194" w:rsidRDefault="00933B37" w:rsidP="00707DC7">
            <w:pPr>
              <w:pStyle w:val="BodyTextGrey"/>
              <w:rPr>
                <w:b/>
                <w:sz w:val="24"/>
                <w:szCs w:val="24"/>
              </w:rPr>
            </w:pPr>
            <w:r w:rsidRPr="00535194">
              <w:rPr>
                <w:b/>
                <w:sz w:val="24"/>
                <w:szCs w:val="24"/>
              </w:rPr>
              <w:t>Primary contribution rate</w:t>
            </w:r>
          </w:p>
        </w:tc>
        <w:tc>
          <w:tcPr>
            <w:tcW w:w="7654" w:type="dxa"/>
            <w:shd w:val="clear" w:color="auto" w:fill="auto"/>
          </w:tcPr>
          <w:p w14:paraId="4E376121" w14:textId="7444E047" w:rsidR="005362C0" w:rsidRPr="00535194" w:rsidRDefault="00933B37" w:rsidP="00B94F71">
            <w:pPr>
              <w:pStyle w:val="BodyTextGrey"/>
              <w:rPr>
                <w:sz w:val="24"/>
                <w:szCs w:val="24"/>
              </w:rPr>
            </w:pPr>
            <w:r w:rsidRPr="00535194">
              <w:rPr>
                <w:sz w:val="24"/>
                <w:szCs w:val="24"/>
              </w:rPr>
              <w:t>The employer contribution rate required to pay for ongoing accrual of active members’ benefits (including an allowance for administrative expenses). See Appendix D for further details.</w:t>
            </w:r>
          </w:p>
        </w:tc>
      </w:tr>
      <w:tr w:rsidR="005362C0" w:rsidRPr="00741EED" w14:paraId="7E2A6F7B" w14:textId="77777777" w:rsidTr="009B7C3E">
        <w:tc>
          <w:tcPr>
            <w:tcW w:w="2093" w:type="dxa"/>
            <w:shd w:val="clear" w:color="auto" w:fill="auto"/>
          </w:tcPr>
          <w:p w14:paraId="4210E557" w14:textId="77777777" w:rsidR="005362C0" w:rsidRPr="00535194" w:rsidRDefault="005362C0" w:rsidP="00707DC7">
            <w:pPr>
              <w:pStyle w:val="BodyTextGrey"/>
              <w:rPr>
                <w:b/>
                <w:sz w:val="24"/>
                <w:szCs w:val="24"/>
              </w:rPr>
            </w:pPr>
            <w:r w:rsidRPr="00535194">
              <w:rPr>
                <w:b/>
                <w:sz w:val="24"/>
                <w:szCs w:val="24"/>
              </w:rPr>
              <w:t>Profile</w:t>
            </w:r>
          </w:p>
        </w:tc>
        <w:tc>
          <w:tcPr>
            <w:tcW w:w="7654" w:type="dxa"/>
            <w:shd w:val="clear" w:color="auto" w:fill="auto"/>
          </w:tcPr>
          <w:p w14:paraId="1D3B11E6" w14:textId="77777777" w:rsidR="005362C0" w:rsidRPr="00535194" w:rsidRDefault="005362C0" w:rsidP="00B94F71">
            <w:pPr>
              <w:pStyle w:val="BodyTextGrey"/>
              <w:rPr>
                <w:sz w:val="24"/>
                <w:szCs w:val="24"/>
              </w:rPr>
            </w:pPr>
            <w:r w:rsidRPr="00535194">
              <w:rPr>
                <w:sz w:val="24"/>
                <w:szCs w:val="24"/>
              </w:rPr>
              <w:t xml:space="preserve">The profile of an employer’s membership or liability reflects various measurements of that employer’s </w:t>
            </w:r>
            <w:r w:rsidRPr="00535194">
              <w:rPr>
                <w:b/>
                <w:sz w:val="24"/>
                <w:szCs w:val="24"/>
              </w:rPr>
              <w:t>members</w:t>
            </w:r>
            <w:r w:rsidRPr="00535194">
              <w:rPr>
                <w:sz w:val="24"/>
                <w:szCs w:val="24"/>
              </w:rPr>
              <w:t xml:space="preserve">, </w:t>
            </w:r>
            <w:proofErr w:type="spellStart"/>
            <w:r w:rsidRPr="00535194">
              <w:rPr>
                <w:sz w:val="24"/>
                <w:szCs w:val="24"/>
              </w:rPr>
              <w:t>ie</w:t>
            </w:r>
            <w:proofErr w:type="spellEnd"/>
            <w:r w:rsidRPr="00535194">
              <w:rPr>
                <w:sz w:val="24"/>
                <w:szCs w:val="24"/>
              </w:rPr>
              <w:t xml:space="preserve"> current and former employees. This includes: the proportions which are active, deferred or pensioner; the average ages of each category; the varying salary or pension levels; the lengths of service of active members vs their salary levels, etc. A membership (or liability) profile might be measured for its </w:t>
            </w:r>
            <w:r w:rsidRPr="00535194">
              <w:rPr>
                <w:b/>
                <w:sz w:val="24"/>
                <w:szCs w:val="24"/>
              </w:rPr>
              <w:t>maturity</w:t>
            </w:r>
            <w:r w:rsidRPr="00535194">
              <w:rPr>
                <w:sz w:val="24"/>
                <w:szCs w:val="24"/>
              </w:rPr>
              <w:t xml:space="preserve"> also.</w:t>
            </w:r>
          </w:p>
        </w:tc>
      </w:tr>
      <w:tr w:rsidR="009339A8" w:rsidRPr="00741EED" w14:paraId="58B02317" w14:textId="77777777" w:rsidTr="009B7C3E">
        <w:tc>
          <w:tcPr>
            <w:tcW w:w="2093" w:type="dxa"/>
            <w:shd w:val="clear" w:color="auto" w:fill="auto"/>
          </w:tcPr>
          <w:p w14:paraId="3D03B419" w14:textId="77777777" w:rsidR="009339A8" w:rsidRPr="00535194" w:rsidRDefault="009339A8" w:rsidP="00707DC7">
            <w:pPr>
              <w:pStyle w:val="BodyTextGrey"/>
              <w:rPr>
                <w:b/>
                <w:sz w:val="24"/>
                <w:szCs w:val="24"/>
              </w:rPr>
            </w:pPr>
            <w:r w:rsidRPr="00535194">
              <w:rPr>
                <w:b/>
                <w:sz w:val="24"/>
                <w:szCs w:val="24"/>
              </w:rPr>
              <w:t>Rates and Adjustments Certificate</w:t>
            </w:r>
          </w:p>
        </w:tc>
        <w:tc>
          <w:tcPr>
            <w:tcW w:w="7654" w:type="dxa"/>
            <w:shd w:val="clear" w:color="auto" w:fill="auto"/>
          </w:tcPr>
          <w:p w14:paraId="52210B02" w14:textId="60B7568A" w:rsidR="009339A8" w:rsidRPr="00535194" w:rsidRDefault="009339A8" w:rsidP="00B94F71">
            <w:pPr>
              <w:pStyle w:val="BodyTextGrey"/>
              <w:rPr>
                <w:sz w:val="24"/>
                <w:szCs w:val="24"/>
              </w:rPr>
            </w:pPr>
            <w:r w:rsidRPr="00535194">
              <w:rPr>
                <w:sz w:val="24"/>
                <w:szCs w:val="24"/>
              </w:rPr>
              <w:t xml:space="preserve">A formal document required by the LGPS Regulations, which must be updated at the conclusion of the formal </w:t>
            </w:r>
            <w:r w:rsidRPr="00535194">
              <w:rPr>
                <w:b/>
                <w:sz w:val="24"/>
                <w:szCs w:val="24"/>
              </w:rPr>
              <w:t>valuation</w:t>
            </w:r>
            <w:r w:rsidRPr="00535194">
              <w:rPr>
                <w:sz w:val="24"/>
                <w:szCs w:val="24"/>
              </w:rPr>
              <w:t>. This is completed by the actuary and confirms the contributions to be paid by each employer (or pool of employers) in the Fund for the period until the next valuation is completed.</w:t>
            </w:r>
          </w:p>
        </w:tc>
      </w:tr>
      <w:tr w:rsidR="00707DC7" w:rsidRPr="00741EED" w14:paraId="04A3E8BF" w14:textId="77777777" w:rsidTr="009B7C3E">
        <w:tc>
          <w:tcPr>
            <w:tcW w:w="2093" w:type="dxa"/>
            <w:shd w:val="clear" w:color="auto" w:fill="auto"/>
          </w:tcPr>
          <w:p w14:paraId="783F219D" w14:textId="77777777" w:rsidR="00707DC7" w:rsidRPr="00535194" w:rsidRDefault="003432B9" w:rsidP="00707DC7">
            <w:pPr>
              <w:pStyle w:val="BodyTextGrey"/>
              <w:rPr>
                <w:b/>
                <w:sz w:val="24"/>
                <w:szCs w:val="24"/>
              </w:rPr>
            </w:pPr>
            <w:r w:rsidRPr="00535194">
              <w:rPr>
                <w:b/>
                <w:sz w:val="24"/>
                <w:szCs w:val="24"/>
              </w:rPr>
              <w:t>Scheduled B</w:t>
            </w:r>
            <w:r w:rsidR="00707DC7" w:rsidRPr="00535194">
              <w:rPr>
                <w:b/>
                <w:sz w:val="24"/>
                <w:szCs w:val="24"/>
              </w:rPr>
              <w:t xml:space="preserve">odies </w:t>
            </w:r>
          </w:p>
        </w:tc>
        <w:tc>
          <w:tcPr>
            <w:tcW w:w="7654" w:type="dxa"/>
            <w:shd w:val="clear" w:color="auto" w:fill="auto"/>
          </w:tcPr>
          <w:p w14:paraId="28F97255" w14:textId="747FC332" w:rsidR="00707DC7" w:rsidRPr="00535194" w:rsidRDefault="00707DC7" w:rsidP="003432B9">
            <w:pPr>
              <w:pStyle w:val="BodyTextGrey"/>
              <w:rPr>
                <w:sz w:val="24"/>
                <w:szCs w:val="24"/>
              </w:rPr>
            </w:pPr>
            <w:r w:rsidRPr="00535194">
              <w:rPr>
                <w:sz w:val="24"/>
                <w:szCs w:val="24"/>
              </w:rPr>
              <w:t xml:space="preserve">Types of employer explicitly defined in the LGPS Regulations, whose must be offered membership of their local LGPS Fund.  These include Councils, colleges, universities, </w:t>
            </w:r>
            <w:r w:rsidR="003432B9" w:rsidRPr="00535194">
              <w:rPr>
                <w:sz w:val="24"/>
                <w:szCs w:val="24"/>
              </w:rPr>
              <w:t>academies</w:t>
            </w:r>
            <w:r w:rsidRPr="00535194">
              <w:rPr>
                <w:sz w:val="24"/>
                <w:szCs w:val="24"/>
              </w:rPr>
              <w:t xml:space="preserve">, police and fire authorities etc, other than employees who have entitlement to a different public sector pension scheme (e.g. teachers, police and fire officers, university lecturers). </w:t>
            </w:r>
          </w:p>
        </w:tc>
      </w:tr>
      <w:tr w:rsidR="00107C1C" w:rsidRPr="00741EED" w14:paraId="2634BE4F" w14:textId="77777777" w:rsidTr="009B7C3E">
        <w:tc>
          <w:tcPr>
            <w:tcW w:w="2093" w:type="dxa"/>
            <w:shd w:val="clear" w:color="auto" w:fill="auto"/>
          </w:tcPr>
          <w:p w14:paraId="1F248DE7" w14:textId="115CE7E6" w:rsidR="00107C1C" w:rsidRPr="00535194" w:rsidRDefault="00933B37" w:rsidP="00707DC7">
            <w:pPr>
              <w:pStyle w:val="BodyTextGrey"/>
              <w:rPr>
                <w:b/>
                <w:sz w:val="24"/>
                <w:szCs w:val="24"/>
              </w:rPr>
            </w:pPr>
            <w:r w:rsidRPr="00535194">
              <w:rPr>
                <w:b/>
                <w:sz w:val="24"/>
                <w:szCs w:val="24"/>
              </w:rPr>
              <w:lastRenderedPageBreak/>
              <w:t>Secondary contribution rate</w:t>
            </w:r>
          </w:p>
        </w:tc>
        <w:tc>
          <w:tcPr>
            <w:tcW w:w="7654" w:type="dxa"/>
            <w:shd w:val="clear" w:color="auto" w:fill="auto"/>
          </w:tcPr>
          <w:p w14:paraId="58649854" w14:textId="31F36739" w:rsidR="00107C1C" w:rsidRPr="00535194" w:rsidRDefault="00933B37" w:rsidP="006B22B2">
            <w:pPr>
              <w:pStyle w:val="BodyTextGrey"/>
              <w:rPr>
                <w:sz w:val="24"/>
                <w:szCs w:val="24"/>
              </w:rPr>
            </w:pPr>
            <w:r w:rsidRPr="00535194">
              <w:rPr>
                <w:sz w:val="24"/>
                <w:szCs w:val="24"/>
              </w:rPr>
              <w:t xml:space="preserve">The difference between the employer’s actual and </w:t>
            </w:r>
            <w:r w:rsidRPr="00535194">
              <w:rPr>
                <w:b/>
                <w:sz w:val="24"/>
                <w:szCs w:val="24"/>
              </w:rPr>
              <w:t>Primary contribution rates</w:t>
            </w:r>
            <w:r w:rsidRPr="00535194">
              <w:rPr>
                <w:sz w:val="24"/>
                <w:szCs w:val="24"/>
              </w:rPr>
              <w:t>.</w:t>
            </w:r>
            <w:r w:rsidR="006B22B2" w:rsidRPr="00535194">
              <w:rPr>
                <w:sz w:val="24"/>
                <w:szCs w:val="24"/>
              </w:rPr>
              <w:t xml:space="preserve">  See </w:t>
            </w:r>
            <w:hyperlink w:anchor="AppendixD" w:history="1">
              <w:r w:rsidR="006B22B2" w:rsidRPr="00535194">
                <w:rPr>
                  <w:rStyle w:val="Hyperlink"/>
                  <w:sz w:val="24"/>
                  <w:szCs w:val="24"/>
                </w:rPr>
                <w:t>Appendix D</w:t>
              </w:r>
            </w:hyperlink>
            <w:r w:rsidR="006B22B2" w:rsidRPr="00535194">
              <w:rPr>
                <w:sz w:val="24"/>
                <w:szCs w:val="24"/>
              </w:rPr>
              <w:t xml:space="preserve"> for further details.</w:t>
            </w:r>
          </w:p>
        </w:tc>
      </w:tr>
      <w:tr w:rsidR="00707DC7" w:rsidRPr="00741EED" w14:paraId="061468CB" w14:textId="77777777" w:rsidTr="009B7C3E">
        <w:tc>
          <w:tcPr>
            <w:tcW w:w="2093" w:type="dxa"/>
            <w:shd w:val="clear" w:color="auto" w:fill="auto"/>
          </w:tcPr>
          <w:p w14:paraId="5075B6D6" w14:textId="77777777" w:rsidR="00707DC7" w:rsidRPr="00535194" w:rsidRDefault="00707DC7" w:rsidP="00707DC7">
            <w:pPr>
              <w:pStyle w:val="BodyTextGrey"/>
              <w:rPr>
                <w:b/>
                <w:sz w:val="24"/>
                <w:szCs w:val="24"/>
              </w:rPr>
            </w:pPr>
            <w:r w:rsidRPr="00535194">
              <w:rPr>
                <w:b/>
                <w:sz w:val="24"/>
                <w:szCs w:val="24"/>
              </w:rPr>
              <w:t>Stabilisation</w:t>
            </w:r>
          </w:p>
        </w:tc>
        <w:tc>
          <w:tcPr>
            <w:tcW w:w="7654" w:type="dxa"/>
            <w:shd w:val="clear" w:color="auto" w:fill="auto"/>
          </w:tcPr>
          <w:p w14:paraId="4EF41D49" w14:textId="6025BF37" w:rsidR="00707DC7" w:rsidRPr="00535194" w:rsidRDefault="00707DC7" w:rsidP="003432B9">
            <w:pPr>
              <w:pStyle w:val="BodyTextGrey"/>
              <w:rPr>
                <w:sz w:val="24"/>
                <w:szCs w:val="24"/>
              </w:rPr>
            </w:pPr>
            <w:r w:rsidRPr="00535194">
              <w:rPr>
                <w:sz w:val="24"/>
                <w:szCs w:val="24"/>
              </w:rPr>
              <w:t xml:space="preserve">Any method used to smooth out changes in employer contributions from one year to the next.  This is very broadly required by the LGPS Regulations, but in practice is particularly employed for large stable employers in the Fund.  . </w:t>
            </w:r>
          </w:p>
        </w:tc>
      </w:tr>
      <w:tr w:rsidR="00707DC7" w:rsidRPr="00741EED" w14:paraId="67849867" w14:textId="77777777" w:rsidTr="009B7C3E">
        <w:tc>
          <w:tcPr>
            <w:tcW w:w="2093" w:type="dxa"/>
            <w:shd w:val="clear" w:color="auto" w:fill="auto"/>
          </w:tcPr>
          <w:p w14:paraId="65A6FC57" w14:textId="77777777" w:rsidR="00707DC7" w:rsidRPr="00535194" w:rsidRDefault="00707DC7" w:rsidP="00707DC7">
            <w:pPr>
              <w:pStyle w:val="BodyTextGrey"/>
              <w:rPr>
                <w:b/>
                <w:sz w:val="24"/>
                <w:szCs w:val="24"/>
              </w:rPr>
            </w:pPr>
            <w:r w:rsidRPr="00535194">
              <w:rPr>
                <w:b/>
                <w:sz w:val="24"/>
                <w:szCs w:val="24"/>
              </w:rPr>
              <w:t>Valuation</w:t>
            </w:r>
          </w:p>
        </w:tc>
        <w:tc>
          <w:tcPr>
            <w:tcW w:w="7654" w:type="dxa"/>
            <w:shd w:val="clear" w:color="auto" w:fill="auto"/>
          </w:tcPr>
          <w:p w14:paraId="522B706B" w14:textId="51A95DCE" w:rsidR="00707DC7" w:rsidRPr="00535194" w:rsidRDefault="008C2382" w:rsidP="00707DC7">
            <w:pPr>
              <w:pStyle w:val="BodyTextGrey"/>
              <w:rPr>
                <w:sz w:val="24"/>
                <w:szCs w:val="24"/>
              </w:rPr>
            </w:pPr>
            <w:r w:rsidRPr="00535194">
              <w:rPr>
                <w:sz w:val="24"/>
                <w:szCs w:val="24"/>
              </w:rPr>
              <w:t xml:space="preserve">A risk management exercise to review </w:t>
            </w:r>
            <w:r w:rsidR="00707DC7" w:rsidRPr="00535194">
              <w:rPr>
                <w:sz w:val="24"/>
                <w:szCs w:val="24"/>
              </w:rPr>
              <w:t xml:space="preserve">the </w:t>
            </w:r>
            <w:r w:rsidRPr="00535194">
              <w:rPr>
                <w:b/>
                <w:sz w:val="24"/>
                <w:szCs w:val="24"/>
              </w:rPr>
              <w:t>Primary and Secondary contribution rates</w:t>
            </w:r>
            <w:r w:rsidRPr="00535194">
              <w:rPr>
                <w:sz w:val="24"/>
                <w:szCs w:val="24"/>
              </w:rPr>
              <w:t xml:space="preserve">, and other statutory information </w:t>
            </w:r>
            <w:r w:rsidR="00707DC7" w:rsidRPr="00535194">
              <w:rPr>
                <w:sz w:val="24"/>
                <w:szCs w:val="24"/>
              </w:rPr>
              <w:t xml:space="preserve">for a Fund, and usually individual employers too.  </w:t>
            </w:r>
          </w:p>
        </w:tc>
      </w:tr>
    </w:tbl>
    <w:p w14:paraId="64D797F5" w14:textId="77777777" w:rsidR="00BE5E13" w:rsidRDefault="00BE5E13" w:rsidP="00BE5E13">
      <w:pPr>
        <w:pStyle w:val="BodyTextGrey"/>
      </w:pPr>
    </w:p>
    <w:sectPr w:rsidR="00BE5E13" w:rsidSect="00557E3C">
      <w:headerReference w:type="default" r:id="rId29"/>
      <w:pgSz w:w="11906" w:h="16838" w:code="9"/>
      <w:pgMar w:top="1814" w:right="851" w:bottom="1134" w:left="1134" w:header="72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F5A01" w14:textId="77777777" w:rsidR="002F7970" w:rsidRDefault="002F7970" w:rsidP="004B7C6A">
      <w:pPr>
        <w:spacing w:line="240" w:lineRule="auto"/>
      </w:pPr>
      <w:r>
        <w:separator/>
      </w:r>
    </w:p>
    <w:p w14:paraId="2ABC8A44" w14:textId="77777777" w:rsidR="002F7970" w:rsidRDefault="002F7970"/>
  </w:endnote>
  <w:endnote w:type="continuationSeparator" w:id="0">
    <w:p w14:paraId="13BE63FB" w14:textId="77777777" w:rsidR="002F7970" w:rsidRDefault="002F7970" w:rsidP="004B7C6A">
      <w:pPr>
        <w:spacing w:line="240" w:lineRule="auto"/>
      </w:pPr>
      <w:r>
        <w:continuationSeparator/>
      </w:r>
    </w:p>
    <w:p w14:paraId="0A0E5A8B" w14:textId="77777777" w:rsidR="002F7970" w:rsidRDefault="002F7970"/>
  </w:endnote>
  <w:endnote w:type="continuationNotice" w:id="1">
    <w:p w14:paraId="1759D204" w14:textId="77777777" w:rsidR="002F7970" w:rsidRDefault="002F797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D970B" w14:textId="77777777" w:rsidR="002F7970" w:rsidRDefault="002F7970">
    <w:pPr>
      <w:pStyle w:val="Footer"/>
    </w:pPr>
    <w:r>
      <w:rPr>
        <w:noProof/>
      </w:rPr>
      <w:drawing>
        <wp:anchor distT="0" distB="0" distL="114300" distR="114300" simplePos="0" relativeHeight="251658241" behindDoc="1" locked="0" layoutInCell="1" allowOverlap="1" wp14:anchorId="638830B9" wp14:editId="7AC21E18">
          <wp:simplePos x="0" y="0"/>
          <wp:positionH relativeFrom="column">
            <wp:posOffset>-212090</wp:posOffset>
          </wp:positionH>
          <wp:positionV relativeFrom="paragraph">
            <wp:posOffset>-163195</wp:posOffset>
          </wp:positionV>
          <wp:extent cx="2352675" cy="457200"/>
          <wp:effectExtent l="19050" t="0" r="9525" b="0"/>
          <wp:wrapNone/>
          <wp:docPr id="4" name="Picture 4" descr="logo PS with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S with circles"/>
                  <pic:cNvPicPr>
                    <a:picLocks noChangeAspect="1" noChangeArrowheads="1"/>
                  </pic:cNvPicPr>
                </pic:nvPicPr>
                <pic:blipFill>
                  <a:blip r:embed="rId1"/>
                  <a:stretch>
                    <a:fillRect/>
                  </a:stretch>
                </pic:blipFill>
                <pic:spPr bwMode="auto">
                  <a:xfrm>
                    <a:off x="0" y="0"/>
                    <a:ext cx="2352675" cy="457200"/>
                  </a:xfrm>
                  <a:prstGeom prst="rect">
                    <a:avLst/>
                  </a:prstGeom>
                  <a:noFill/>
                  <a:ln w="9525">
                    <a:noFill/>
                    <a:miter lim="800000"/>
                    <a:headEnd/>
                    <a:tailEnd/>
                  </a:ln>
                </pic:spPr>
              </pic:pic>
            </a:graphicData>
          </a:graphic>
        </wp:anchor>
      </w:drawing>
    </w:r>
    <w:r>
      <w:rPr>
        <w:noProof/>
      </w:rPr>
      <mc:AlternateContent>
        <mc:Choice Requires="wps">
          <w:drawing>
            <wp:anchor distT="4294967293" distB="4294967293" distL="114300" distR="114300" simplePos="0" relativeHeight="251658242" behindDoc="0" locked="0" layoutInCell="1" allowOverlap="1" wp14:anchorId="04096659" wp14:editId="77A81FE6">
              <wp:simplePos x="0" y="0"/>
              <wp:positionH relativeFrom="column">
                <wp:posOffset>-97155</wp:posOffset>
              </wp:positionH>
              <wp:positionV relativeFrom="paragraph">
                <wp:posOffset>-222251</wp:posOffset>
              </wp:positionV>
              <wp:extent cx="62865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ABABA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202B5AE" id="Line 7"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6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" strokecolor="#ababab"/>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D2E21" w14:textId="4D03769A" w:rsidR="002F7970" w:rsidRDefault="002F7970" w:rsidP="00425E54">
    <w:pPr>
      <w:pStyle w:val="FooterText"/>
      <w:pBdr>
        <w:top w:val="single" w:sz="2" w:space="1" w:color="646464"/>
      </w:pBdr>
    </w:pPr>
    <w:r w:rsidRPr="002F7970">
      <w:t>July 2021</w:t>
    </w:r>
  </w:p>
  <w:p w14:paraId="4AEF77F0" w14:textId="77777777" w:rsidR="002F7970" w:rsidRPr="00E900FC" w:rsidRDefault="002F7970" w:rsidP="00354463">
    <w:pPr>
      <w:pStyle w:val="Filepath"/>
      <w:spacing w:line="240" w:lineRule="auto"/>
      <w:rPr>
        <w:color w:val="FFFFFF" w:themeColor="background1"/>
      </w:rPr>
    </w:pPr>
    <w:r w:rsidRPr="00E900FC">
      <w:rPr>
        <w:color w:val="FFFFFF" w:themeColor="background1"/>
      </w:rPr>
      <w:fldChar w:fldCharType="begin"/>
    </w:r>
    <w:r w:rsidRPr="00E900FC">
      <w:rPr>
        <w:color w:val="FFFFFF" w:themeColor="background1"/>
      </w:rPr>
      <w:instrText xml:space="preserve"> FILENAME \p\* Upper \* MERGEFORMAT </w:instrText>
    </w:r>
    <w:r w:rsidRPr="00E900FC">
      <w:rPr>
        <w:color w:val="FFFFFF" w:themeColor="background1"/>
      </w:rPr>
      <w:fldChar w:fldCharType="separate"/>
    </w:r>
    <w:r>
      <w:rPr>
        <w:noProof/>
        <w:color w:val="FFFFFF" w:themeColor="background1"/>
      </w:rPr>
      <w:t>C:\USERS\DGREEN\DESKTOP\CAMD\LONDON BOROUGH OF CAMDEN PENSION FUND - FUNDING STRATEGY STATEMENT 2016.DOCX</w:t>
    </w:r>
    <w:r w:rsidRPr="00E900FC">
      <w:rPr>
        <w:noProof/>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49403" w14:textId="77777777" w:rsidR="002F7970" w:rsidRDefault="002F7970">
    <w:pPr>
      <w:pStyle w:val="Footer"/>
      <w:rPr>
        <w:sz w:val="2"/>
      </w:rPr>
    </w:pPr>
    <w:r>
      <w:rPr>
        <w:sz w:val="2"/>
      </w:rPr>
      <w:tab/>
    </w:r>
  </w:p>
  <w:tbl>
    <w:tblPr>
      <w:tblW w:w="0" w:type="auto"/>
      <w:tblLayout w:type="fixed"/>
      <w:tblLook w:val="0000" w:firstRow="0" w:lastRow="0" w:firstColumn="0" w:lastColumn="0" w:noHBand="0" w:noVBand="0"/>
    </w:tblPr>
    <w:tblGrid>
      <w:gridCol w:w="2954"/>
      <w:gridCol w:w="2954"/>
      <w:gridCol w:w="2954"/>
    </w:tblGrid>
    <w:tr w:rsidR="002F7970" w14:paraId="109E8A0F" w14:textId="77777777">
      <w:tc>
        <w:tcPr>
          <w:tcW w:w="2954" w:type="dxa"/>
        </w:tcPr>
        <w:p w14:paraId="3B4F2C34" w14:textId="77777777" w:rsidR="002F7970" w:rsidRDefault="002F7970">
          <w:pPr>
            <w:pStyle w:val="Footer"/>
          </w:pPr>
        </w:p>
      </w:tc>
      <w:tc>
        <w:tcPr>
          <w:tcW w:w="2954" w:type="dxa"/>
        </w:tcPr>
        <w:p w14:paraId="675F9D0E" w14:textId="77777777" w:rsidR="002F7970" w:rsidRDefault="002F7970">
          <w:pPr>
            <w:pStyle w:val="Footer"/>
            <w:jc w:val="center"/>
          </w:pPr>
          <w:r>
            <w:t xml:space="preserve">Page No. </w:t>
          </w:r>
          <w:r>
            <w:fldChar w:fldCharType="begin"/>
          </w:r>
          <w:r>
            <w:instrText xml:space="preserve"> PAGE </w:instrText>
          </w:r>
          <w:r>
            <w:fldChar w:fldCharType="separate"/>
          </w:r>
          <w:r>
            <w:rPr>
              <w:noProof/>
            </w:rPr>
            <w:t>1</w:t>
          </w:r>
          <w:r>
            <w:rPr>
              <w:noProof/>
            </w:rPr>
            <w:fldChar w:fldCharType="end"/>
          </w:r>
        </w:p>
      </w:tc>
      <w:tc>
        <w:tcPr>
          <w:tcW w:w="2954" w:type="dxa"/>
        </w:tcPr>
        <w:p w14:paraId="5A191DF1" w14:textId="77777777" w:rsidR="002F7970" w:rsidRDefault="002F7970">
          <w:pPr>
            <w:pStyle w:val="Footer"/>
            <w:jc w:val="right"/>
          </w:pPr>
          <w:r>
            <w:fldChar w:fldCharType="begin"/>
          </w:r>
          <w:r>
            <w:instrText xml:space="preserve"> CREATEDATE \@ "MMMM yyyy" \* MERGEFORMAT </w:instrText>
          </w:r>
          <w:r>
            <w:fldChar w:fldCharType="separate"/>
          </w:r>
          <w:r>
            <w:rPr>
              <w:noProof/>
            </w:rPr>
            <w:t>September 2016</w:t>
          </w:r>
          <w:r>
            <w:rPr>
              <w:noProof/>
            </w:rPr>
            <w:fldChar w:fldCharType="end"/>
          </w:r>
        </w:p>
      </w:tc>
    </w:tr>
    <w:tr w:rsidR="002F7970" w14:paraId="297447B6" w14:textId="77777777">
      <w:tc>
        <w:tcPr>
          <w:tcW w:w="2954" w:type="dxa"/>
        </w:tcPr>
        <w:p w14:paraId="2D231D52" w14:textId="77777777" w:rsidR="002F7970" w:rsidRDefault="002F7970">
          <w:pPr>
            <w:pStyle w:val="Footer"/>
          </w:pPr>
        </w:p>
      </w:tc>
      <w:tc>
        <w:tcPr>
          <w:tcW w:w="5908" w:type="dxa"/>
          <w:gridSpan w:val="2"/>
        </w:tcPr>
        <w:p w14:paraId="37288B49" w14:textId="77777777" w:rsidR="002F7970" w:rsidRDefault="002F7970">
          <w:pPr>
            <w:pStyle w:val="Footer"/>
            <w:jc w:val="right"/>
          </w:pPr>
          <w:r>
            <w:rPr>
              <w:rFonts w:ascii="NewCenturySchlbk" w:hAnsi="NewCenturySchlbk"/>
              <w:noProof/>
              <w:sz w:val="12"/>
            </w:rPr>
            <w:fldChar w:fldCharType="begin"/>
          </w:r>
          <w:r>
            <w:rPr>
              <w:rFonts w:ascii="NewCenturySchlbk" w:hAnsi="NewCenturySchlbk"/>
              <w:noProof/>
              <w:sz w:val="12"/>
            </w:rPr>
            <w:instrText xml:space="preserve"> FILENAME \p\* Upper \* MERGEFORMAT </w:instrText>
          </w:r>
          <w:r>
            <w:rPr>
              <w:rFonts w:ascii="NewCenturySchlbk" w:hAnsi="NewCenturySchlbk"/>
              <w:noProof/>
              <w:sz w:val="12"/>
            </w:rPr>
            <w:fldChar w:fldCharType="separate"/>
          </w:r>
          <w:r w:rsidRPr="00933ACE">
            <w:rPr>
              <w:rFonts w:ascii="NewCenturySchlbk" w:hAnsi="NewCenturySchlbk"/>
              <w:noProof/>
              <w:sz w:val="12"/>
            </w:rPr>
            <w:t>C</w:t>
          </w:r>
          <w:r>
            <w:rPr>
              <w:noProof/>
            </w:rPr>
            <w:t>:\USERS\DGREEN\DESKTOP\CAMD\LONDON BOROUGH OF CAMDEN PENSION FUND - FUNDING STRATEGY STATEMENT 2016.DOCX</w:t>
          </w:r>
          <w:r>
            <w:rPr>
              <w:noProof/>
            </w:rPr>
            <w:fldChar w:fldCharType="end"/>
          </w:r>
        </w:p>
      </w:tc>
    </w:tr>
  </w:tbl>
  <w:p w14:paraId="6CEFE2F0" w14:textId="77777777" w:rsidR="002F7970" w:rsidRDefault="002F7970">
    <w:pPr>
      <w:pStyle w:val="Footer"/>
    </w:pPr>
  </w:p>
  <w:p w14:paraId="49E1F883" w14:textId="77777777" w:rsidR="002F7970" w:rsidRDefault="002F797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4240" w14:textId="77777777" w:rsidR="002F7970" w:rsidRDefault="002F79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6A340" w14:textId="77777777" w:rsidR="002F7970" w:rsidRDefault="002F7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A2A24" w14:textId="77777777" w:rsidR="002F7970" w:rsidRDefault="002F7970" w:rsidP="004B7C6A">
      <w:pPr>
        <w:spacing w:line="240" w:lineRule="auto"/>
      </w:pPr>
      <w:r>
        <w:separator/>
      </w:r>
    </w:p>
    <w:p w14:paraId="17DF6C89" w14:textId="77777777" w:rsidR="002F7970" w:rsidRDefault="002F7970"/>
  </w:footnote>
  <w:footnote w:type="continuationSeparator" w:id="0">
    <w:p w14:paraId="29D34068" w14:textId="77777777" w:rsidR="002F7970" w:rsidRDefault="002F7970" w:rsidP="004B7C6A">
      <w:pPr>
        <w:spacing w:line="240" w:lineRule="auto"/>
      </w:pPr>
      <w:r>
        <w:continuationSeparator/>
      </w:r>
    </w:p>
    <w:p w14:paraId="285A96BF" w14:textId="77777777" w:rsidR="002F7970" w:rsidRDefault="002F7970"/>
  </w:footnote>
  <w:footnote w:type="continuationNotice" w:id="1">
    <w:p w14:paraId="18008004" w14:textId="77777777" w:rsidR="002F7970" w:rsidRDefault="002F797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31778" w14:textId="3CF4CAF0" w:rsidR="002F7970" w:rsidRPr="002F7970" w:rsidRDefault="002F7970">
    <w:pPr>
      <w:rPr>
        <w:b/>
        <w:bCs/>
      </w:rPr>
    </w:pPr>
    <w:r w:rsidRPr="002F7970">
      <w:rPr>
        <w:b/>
        <w:bCs/>
        <w:noProof/>
      </w:rPr>
      <w:drawing>
        <wp:anchor distT="0" distB="0" distL="114300" distR="114300" simplePos="0" relativeHeight="251658240" behindDoc="1" locked="0" layoutInCell="1" allowOverlap="0" wp14:anchorId="0321D08A" wp14:editId="4349EED6">
          <wp:simplePos x="0" y="0"/>
          <wp:positionH relativeFrom="column">
            <wp:posOffset>3475990</wp:posOffset>
          </wp:positionH>
          <wp:positionV relativeFrom="paragraph">
            <wp:posOffset>6985</wp:posOffset>
          </wp:positionV>
          <wp:extent cx="3078093" cy="504872"/>
          <wp:effectExtent l="19050" t="0" r="8007" b="0"/>
          <wp:wrapNone/>
          <wp:docPr id="1" name="Picture 1" descr="HR I&amp;B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 I&amp;B LOGO 1"/>
                  <pic:cNvPicPr>
                    <a:picLocks noChangeAspect="1" noChangeArrowheads="1"/>
                  </pic:cNvPicPr>
                </pic:nvPicPr>
                <pic:blipFill>
                  <a:blip r:embed="rId1"/>
                  <a:stretch>
                    <a:fillRect/>
                  </a:stretch>
                </pic:blipFill>
                <pic:spPr bwMode="auto">
                  <a:xfrm>
                    <a:off x="0" y="0"/>
                    <a:ext cx="3078093" cy="504872"/>
                  </a:xfrm>
                  <a:prstGeom prst="rect">
                    <a:avLst/>
                  </a:prstGeom>
                  <a:noFill/>
                  <a:ln w="9525">
                    <a:noFill/>
                    <a:miter lim="800000"/>
                    <a:headEnd/>
                    <a:tailEnd/>
                  </a:ln>
                </pic:spPr>
              </pic:pic>
            </a:graphicData>
          </a:graphic>
        </wp:anchor>
      </w:drawing>
    </w:r>
  </w:p>
  <w:p w14:paraId="7CC80A71" w14:textId="77777777" w:rsidR="002F7970" w:rsidRDefault="002F7970" w:rsidP="003A090E">
    <w:pPr>
      <w:jc w:val="right"/>
    </w:pPr>
  </w:p>
  <w:p w14:paraId="21458591" w14:textId="77777777" w:rsidR="002F7970" w:rsidRDefault="002F79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193DB" w14:textId="77777777" w:rsidR="002F7970" w:rsidRDefault="002F7970" w:rsidP="00C377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722E80" w14:textId="77777777" w:rsidR="002F7970" w:rsidRDefault="002F7970" w:rsidP="00C3770F">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969F5" w14:textId="2F8BC4CA" w:rsidR="002F7970" w:rsidRPr="00FC6B42" w:rsidRDefault="009529AB" w:rsidP="0000606C">
    <w:pPr>
      <w:pStyle w:val="Header"/>
      <w:tabs>
        <w:tab w:val="clear" w:pos="57"/>
        <w:tab w:val="right" w:pos="9923"/>
      </w:tabs>
      <w:ind w:right="-2"/>
    </w:pPr>
    <w:r>
      <w:t>LONDON BOROUGH OF CAMDEN PENSION FUND</w:t>
    </w:r>
    <w:r w:rsidR="002F7970" w:rsidRPr="00FC6B42">
      <w:rPr>
        <w:rStyle w:val="HeaderChar"/>
      </w:rPr>
      <w:tab/>
    </w:r>
  </w:p>
  <w:p w14:paraId="44A2C3A1" w14:textId="77777777" w:rsidR="002F7970" w:rsidRPr="00FC6B42" w:rsidRDefault="002F7970" w:rsidP="00302D29">
    <w:pPr>
      <w:pStyle w:val="HymanHeader"/>
      <w:rPr>
        <w:lang w:val="en-GB"/>
      </w:rPr>
    </w:pPr>
    <w:r w:rsidRPr="00FC6B42">
      <w:rPr>
        <w:lang w:val="en-GB"/>
      </w:rPr>
      <w:t>HYMANS ROBERTSON LLP</w:t>
    </w:r>
  </w:p>
  <w:p w14:paraId="3337D959" w14:textId="77777777" w:rsidR="002F7970" w:rsidRDefault="002F797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1A2DF" w14:textId="77777777" w:rsidR="002F7970" w:rsidRDefault="002F7970" w:rsidP="00C3770F">
    <w:pPr>
      <w:pStyle w:val="Header"/>
    </w:pPr>
    <w:r>
      <w:t>Scheme Name</w:t>
    </w:r>
  </w:p>
  <w:p w14:paraId="47E21842" w14:textId="77777777" w:rsidR="002F7970" w:rsidRDefault="002F7970" w:rsidP="00C3770F">
    <w:pPr>
      <w:pStyle w:val="Header"/>
    </w:pPr>
  </w:p>
  <w:p w14:paraId="47C96E3F" w14:textId="77777777" w:rsidR="002F7970" w:rsidRDefault="002F797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89490" w14:textId="77777777" w:rsidR="002F7970" w:rsidRDefault="002F79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E7EC7" w14:textId="522955A8" w:rsidR="002F7970" w:rsidRPr="00FC6B42" w:rsidRDefault="009529AB" w:rsidP="0020529A">
    <w:pPr>
      <w:pStyle w:val="Header"/>
      <w:tabs>
        <w:tab w:val="clear" w:pos="57"/>
        <w:tab w:val="left" w:pos="9498"/>
        <w:tab w:val="right" w:pos="13608"/>
      </w:tabs>
      <w:ind w:right="-2"/>
    </w:pPr>
    <w:r>
      <w:t>LONDON BOROUGH OF CAMDEN PENSION FUND</w:t>
    </w:r>
    <w:r w:rsidR="002F7970" w:rsidDel="00B021AD">
      <w:rPr>
        <w:rStyle w:val="HeaderChar"/>
      </w:rPr>
      <w:t xml:space="preserve"> </w:t>
    </w:r>
    <w:r w:rsidR="002F7970">
      <w:rPr>
        <w:rStyle w:val="HeaderChar"/>
      </w:rPr>
      <w:t xml:space="preserve">                                                                     </w:t>
    </w:r>
    <w:r w:rsidR="002F7970">
      <w:rPr>
        <w:rStyle w:val="HeaderChar"/>
      </w:rPr>
      <w:tab/>
    </w:r>
    <w:r w:rsidR="002F7970" w:rsidRPr="00BA6285">
      <w:rPr>
        <w:color w:val="4B4B4B"/>
      </w:rPr>
      <w:fldChar w:fldCharType="begin"/>
    </w:r>
    <w:r w:rsidR="002F7970" w:rsidRPr="00BA6285">
      <w:rPr>
        <w:color w:val="4B4B4B"/>
      </w:rPr>
      <w:instrText xml:space="preserve"> PAGE \# "00#" </w:instrText>
    </w:r>
    <w:r w:rsidR="002F7970" w:rsidRPr="00BA6285">
      <w:rPr>
        <w:color w:val="4B4B4B"/>
      </w:rPr>
      <w:fldChar w:fldCharType="separate"/>
    </w:r>
    <w:r w:rsidR="002F7970">
      <w:rPr>
        <w:noProof/>
        <w:color w:val="4B4B4B"/>
      </w:rPr>
      <w:t>013</w:t>
    </w:r>
    <w:r w:rsidR="002F7970" w:rsidRPr="00BA6285">
      <w:rPr>
        <w:color w:val="4B4B4B"/>
      </w:rPr>
      <w:fldChar w:fldCharType="end"/>
    </w:r>
  </w:p>
  <w:p w14:paraId="7CF264CB" w14:textId="77777777" w:rsidR="002F7970" w:rsidRPr="00FC6B42" w:rsidRDefault="002F7970" w:rsidP="00302D29">
    <w:pPr>
      <w:pStyle w:val="HymanHeader"/>
      <w:rPr>
        <w:lang w:val="en-GB"/>
      </w:rPr>
    </w:pPr>
    <w:r w:rsidRPr="00FC6B42">
      <w:rPr>
        <w:lang w:val="en-GB"/>
      </w:rPr>
      <w:t>HYMANS ROBERTSON LLP</w:t>
    </w:r>
  </w:p>
  <w:p w14:paraId="7A11AB0A" w14:textId="77777777" w:rsidR="002F7970" w:rsidRDefault="002F797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87B06" w14:textId="77777777" w:rsidR="002F7970" w:rsidRDefault="002F79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7C0C0" w14:textId="045B32A2" w:rsidR="002F7970" w:rsidRPr="00FC6B42" w:rsidRDefault="009529AB" w:rsidP="0020529A">
    <w:pPr>
      <w:pStyle w:val="Header"/>
      <w:tabs>
        <w:tab w:val="clear" w:pos="57"/>
        <w:tab w:val="left" w:pos="9498"/>
        <w:tab w:val="right" w:pos="13608"/>
      </w:tabs>
      <w:ind w:right="-2"/>
    </w:pPr>
    <w:r>
      <w:t>LONDON BOROUGH OF CAMDEN PENSION FUND</w:t>
    </w:r>
    <w:r w:rsidR="002F7970">
      <w:rPr>
        <w:rStyle w:val="HeaderChar"/>
      </w:rPr>
      <w:tab/>
      <w:t xml:space="preserve">                                                                         </w:t>
    </w:r>
    <w:r w:rsidR="002F7970" w:rsidRPr="00BA6285">
      <w:rPr>
        <w:color w:val="4B4B4B"/>
      </w:rPr>
      <w:fldChar w:fldCharType="begin"/>
    </w:r>
    <w:r w:rsidR="002F7970" w:rsidRPr="00BA6285">
      <w:rPr>
        <w:color w:val="4B4B4B"/>
      </w:rPr>
      <w:instrText xml:space="preserve"> PAGE \# "00#" </w:instrText>
    </w:r>
    <w:r w:rsidR="002F7970" w:rsidRPr="00BA6285">
      <w:rPr>
        <w:color w:val="4B4B4B"/>
      </w:rPr>
      <w:fldChar w:fldCharType="separate"/>
    </w:r>
    <w:r w:rsidR="002F7970">
      <w:rPr>
        <w:noProof/>
        <w:color w:val="4B4B4B"/>
      </w:rPr>
      <w:t>015</w:t>
    </w:r>
    <w:r w:rsidR="002F7970" w:rsidRPr="00BA6285">
      <w:rPr>
        <w:color w:val="4B4B4B"/>
      </w:rPr>
      <w:fldChar w:fldCharType="end"/>
    </w:r>
  </w:p>
  <w:p w14:paraId="24EA74DF" w14:textId="77777777" w:rsidR="002F7970" w:rsidRPr="00FC6B42" w:rsidRDefault="002F7970" w:rsidP="00302D29">
    <w:pPr>
      <w:pStyle w:val="HymanHeader"/>
      <w:rPr>
        <w:lang w:val="en-GB"/>
      </w:rPr>
    </w:pPr>
    <w:r w:rsidRPr="00FC6B42">
      <w:rPr>
        <w:lang w:val="en-GB"/>
      </w:rPr>
      <w:t>HYMANS ROBERTSON LLP</w:t>
    </w:r>
  </w:p>
  <w:p w14:paraId="519250DF" w14:textId="77777777" w:rsidR="002F7970" w:rsidRDefault="002F797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AD2CF" w14:textId="2346D672" w:rsidR="002F7970" w:rsidRPr="00FC6B42" w:rsidRDefault="009529AB" w:rsidP="00557E3C">
    <w:pPr>
      <w:pStyle w:val="Header"/>
      <w:tabs>
        <w:tab w:val="clear" w:pos="57"/>
        <w:tab w:val="left" w:pos="9498"/>
        <w:tab w:val="right" w:pos="13608"/>
      </w:tabs>
      <w:ind w:right="-2"/>
    </w:pPr>
    <w:r>
      <w:t>LONDON BOROUGH OF CAMDEN PENSION FUND</w:t>
    </w:r>
    <w:r w:rsidR="002F7970" w:rsidDel="00B021AD">
      <w:rPr>
        <w:rStyle w:val="HeaderChar"/>
      </w:rPr>
      <w:t xml:space="preserve"> </w:t>
    </w:r>
    <w:r w:rsidR="002F7970" w:rsidRPr="00FC6B42">
      <w:rPr>
        <w:rStyle w:val="HeaderChar"/>
      </w:rPr>
      <w:tab/>
    </w:r>
    <w:r w:rsidR="002F7970" w:rsidRPr="00BA6285">
      <w:rPr>
        <w:color w:val="4B4B4B"/>
      </w:rPr>
      <w:fldChar w:fldCharType="begin"/>
    </w:r>
    <w:r w:rsidR="002F7970" w:rsidRPr="00BA6285">
      <w:rPr>
        <w:color w:val="4B4B4B"/>
      </w:rPr>
      <w:instrText xml:space="preserve"> PAGE \# "00#" </w:instrText>
    </w:r>
    <w:r w:rsidR="002F7970" w:rsidRPr="00BA6285">
      <w:rPr>
        <w:color w:val="4B4B4B"/>
      </w:rPr>
      <w:fldChar w:fldCharType="separate"/>
    </w:r>
    <w:r w:rsidR="002F7970">
      <w:rPr>
        <w:noProof/>
        <w:color w:val="4B4B4B"/>
      </w:rPr>
      <w:t>019</w:t>
    </w:r>
    <w:r w:rsidR="002F7970" w:rsidRPr="00BA6285">
      <w:rPr>
        <w:color w:val="4B4B4B"/>
      </w:rPr>
      <w:fldChar w:fldCharType="end"/>
    </w:r>
  </w:p>
  <w:p w14:paraId="59F62A9C" w14:textId="77777777" w:rsidR="002F7970" w:rsidRPr="00FC6B42" w:rsidRDefault="002F7970" w:rsidP="00302D29">
    <w:pPr>
      <w:pStyle w:val="HymanHeader"/>
      <w:rPr>
        <w:lang w:val="en-GB"/>
      </w:rPr>
    </w:pPr>
    <w:r w:rsidRPr="00FC6B42">
      <w:rPr>
        <w:lang w:val="en-GB"/>
      </w:rPr>
      <w:t>HYMANS ROBERTSON LLP</w:t>
    </w:r>
  </w:p>
  <w:p w14:paraId="4FC74FEB" w14:textId="77777777" w:rsidR="002F7970" w:rsidRDefault="002F79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7D8F"/>
    <w:multiLevelType w:val="hybridMultilevel"/>
    <w:tmpl w:val="40B85F6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 w15:restartNumberingAfterBreak="0">
    <w:nsid w:val="0205323F"/>
    <w:multiLevelType w:val="hybridMultilevel"/>
    <w:tmpl w:val="B6E86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2299E"/>
    <w:multiLevelType w:val="hybridMultilevel"/>
    <w:tmpl w:val="87A2E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72415F"/>
    <w:multiLevelType w:val="hybridMultilevel"/>
    <w:tmpl w:val="3E8CD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F75B8"/>
    <w:multiLevelType w:val="multilevel"/>
    <w:tmpl w:val="CDB05F26"/>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DBF112F"/>
    <w:multiLevelType w:val="hybridMultilevel"/>
    <w:tmpl w:val="D23A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FD2C8C"/>
    <w:multiLevelType w:val="multilevel"/>
    <w:tmpl w:val="FF866138"/>
    <w:numStyleLink w:val="HRBullet"/>
  </w:abstractNum>
  <w:abstractNum w:abstractNumId="9" w15:restartNumberingAfterBreak="0">
    <w:nsid w:val="140C48D3"/>
    <w:multiLevelType w:val="hybridMultilevel"/>
    <w:tmpl w:val="1E669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2D2C0F"/>
    <w:multiLevelType w:val="hybridMultilevel"/>
    <w:tmpl w:val="C7EE7F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BB2792"/>
    <w:multiLevelType w:val="hybridMultilevel"/>
    <w:tmpl w:val="9D38F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A78D4"/>
    <w:multiLevelType w:val="multilevel"/>
    <w:tmpl w:val="2E2E0CD8"/>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90DE9"/>
    <w:multiLevelType w:val="multilevel"/>
    <w:tmpl w:val="5348739E"/>
    <w:lvl w:ilvl="0">
      <w:start w:val="1"/>
      <w:numFmt w:val="upperLetter"/>
      <w:lvlText w:val="%1"/>
      <w:lvlJc w:val="left"/>
      <w:pPr>
        <w:ind w:left="567" w:hanging="567"/>
      </w:pPr>
      <w:rPr>
        <w:rFonts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023E15"/>
    <w:multiLevelType w:val="hybridMultilevel"/>
    <w:tmpl w:val="92844DDC"/>
    <w:lvl w:ilvl="0" w:tplc="C37ACC2E">
      <w:start w:val="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29320DE5"/>
    <w:multiLevelType w:val="hybridMultilevel"/>
    <w:tmpl w:val="55C6E6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0281E"/>
    <w:multiLevelType w:val="hybridMultilevel"/>
    <w:tmpl w:val="8674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F5069"/>
    <w:multiLevelType w:val="hybridMultilevel"/>
    <w:tmpl w:val="42DA2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B5631D"/>
    <w:multiLevelType w:val="hybridMultilevel"/>
    <w:tmpl w:val="3062A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615651"/>
    <w:multiLevelType w:val="hybridMultilevel"/>
    <w:tmpl w:val="3544CF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2C3F48"/>
    <w:multiLevelType w:val="multilevel"/>
    <w:tmpl w:val="FF866138"/>
    <w:numStyleLink w:val="HRBullet"/>
  </w:abstractNum>
  <w:abstractNum w:abstractNumId="21" w15:restartNumberingAfterBreak="0">
    <w:nsid w:val="31694923"/>
    <w:multiLevelType w:val="hybridMultilevel"/>
    <w:tmpl w:val="1AEE7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C936F0"/>
    <w:multiLevelType w:val="hybridMultilevel"/>
    <w:tmpl w:val="ACC6D4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5DD214B"/>
    <w:multiLevelType w:val="hybridMultilevel"/>
    <w:tmpl w:val="EDA42A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B03511"/>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7B321C"/>
    <w:multiLevelType w:val="hybridMultilevel"/>
    <w:tmpl w:val="04F0CA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81F41E6"/>
    <w:multiLevelType w:val="multilevel"/>
    <w:tmpl w:val="FF866138"/>
    <w:styleLink w:val="HRBullet"/>
    <w:lvl w:ilvl="0">
      <w:start w:val="1"/>
      <w:numFmt w:val="bullet"/>
      <w:lvlText w:val=""/>
      <w:lvlJc w:val="left"/>
      <w:pPr>
        <w:ind w:left="567" w:hanging="567"/>
      </w:pPr>
      <w:rPr>
        <w:rFonts w:ascii="Symbol" w:hAnsi="Symbol" w:hint="default"/>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8B58B3"/>
    <w:multiLevelType w:val="hybridMultilevel"/>
    <w:tmpl w:val="3684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E66BC8"/>
    <w:multiLevelType w:val="hybridMultilevel"/>
    <w:tmpl w:val="31B4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A3112B"/>
    <w:multiLevelType w:val="hybridMultilevel"/>
    <w:tmpl w:val="8468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0A1928"/>
    <w:multiLevelType w:val="hybridMultilevel"/>
    <w:tmpl w:val="72663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3C15C9"/>
    <w:multiLevelType w:val="hybridMultilevel"/>
    <w:tmpl w:val="E2928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901289"/>
    <w:multiLevelType w:val="multilevel"/>
    <w:tmpl w:val="2EC6B67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638"/>
        </w:tabs>
        <w:ind w:left="638" w:hanging="720"/>
      </w:pPr>
      <w:rPr>
        <w:rFonts w:ascii="Arial" w:hAnsi="Arial" w:cs="Arial" w:hint="default"/>
        <w:sz w:val="24"/>
        <w:szCs w:val="24"/>
      </w:rPr>
    </w:lvl>
    <w:lvl w:ilvl="2">
      <w:start w:val="1"/>
      <w:numFmt w:val="decimal"/>
      <w:lvlText w:val="%1.%2.%3."/>
      <w:lvlJc w:val="left"/>
      <w:pPr>
        <w:tabs>
          <w:tab w:val="num" w:pos="556"/>
        </w:tabs>
        <w:ind w:left="556" w:hanging="720"/>
      </w:pPr>
      <w:rPr>
        <w:rFonts w:hint="default"/>
        <w:b w:val="0"/>
        <w:i w:val="0"/>
      </w:rPr>
    </w:lvl>
    <w:lvl w:ilvl="3">
      <w:start w:val="1"/>
      <w:numFmt w:val="decimal"/>
      <w:lvlText w:val="%1.%2.%3.%4."/>
      <w:lvlJc w:val="left"/>
      <w:pPr>
        <w:tabs>
          <w:tab w:val="num" w:pos="834"/>
        </w:tabs>
        <w:ind w:left="834" w:hanging="1080"/>
      </w:pPr>
      <w:rPr>
        <w:rFonts w:hint="default"/>
      </w:rPr>
    </w:lvl>
    <w:lvl w:ilvl="4">
      <w:start w:val="1"/>
      <w:numFmt w:val="decimal"/>
      <w:lvlText w:val="%1.%2.%3.%4.%5."/>
      <w:lvlJc w:val="left"/>
      <w:pPr>
        <w:tabs>
          <w:tab w:val="num" w:pos="752"/>
        </w:tabs>
        <w:ind w:left="752" w:hanging="1080"/>
      </w:pPr>
      <w:rPr>
        <w:rFonts w:hint="default"/>
      </w:rPr>
    </w:lvl>
    <w:lvl w:ilvl="5">
      <w:start w:val="1"/>
      <w:numFmt w:val="decimal"/>
      <w:lvlText w:val="%1.%2.%3.%4.%5.%6."/>
      <w:lvlJc w:val="left"/>
      <w:pPr>
        <w:tabs>
          <w:tab w:val="num" w:pos="1030"/>
        </w:tabs>
        <w:ind w:left="1030" w:hanging="1440"/>
      </w:pPr>
      <w:rPr>
        <w:rFonts w:hint="default"/>
      </w:rPr>
    </w:lvl>
    <w:lvl w:ilvl="6">
      <w:start w:val="1"/>
      <w:numFmt w:val="decimal"/>
      <w:lvlText w:val="%1.%2.%3.%4.%5.%6.%7."/>
      <w:lvlJc w:val="left"/>
      <w:pPr>
        <w:tabs>
          <w:tab w:val="num" w:pos="948"/>
        </w:tabs>
        <w:ind w:left="948" w:hanging="1440"/>
      </w:pPr>
      <w:rPr>
        <w:rFonts w:hint="default"/>
      </w:rPr>
    </w:lvl>
    <w:lvl w:ilvl="7">
      <w:start w:val="1"/>
      <w:numFmt w:val="decimal"/>
      <w:lvlText w:val="%1.%2.%3.%4.%5.%6.%7.%8."/>
      <w:lvlJc w:val="left"/>
      <w:pPr>
        <w:tabs>
          <w:tab w:val="num" w:pos="1226"/>
        </w:tabs>
        <w:ind w:left="1226" w:hanging="1800"/>
      </w:pPr>
      <w:rPr>
        <w:rFonts w:hint="default"/>
      </w:rPr>
    </w:lvl>
    <w:lvl w:ilvl="8">
      <w:start w:val="1"/>
      <w:numFmt w:val="decimal"/>
      <w:lvlText w:val="%1.%2.%3.%4.%5.%6.%7.%8.%9."/>
      <w:lvlJc w:val="left"/>
      <w:pPr>
        <w:tabs>
          <w:tab w:val="num" w:pos="1504"/>
        </w:tabs>
        <w:ind w:left="1504" w:hanging="2160"/>
      </w:pPr>
      <w:rPr>
        <w:rFonts w:hint="default"/>
      </w:rPr>
    </w:lvl>
  </w:abstractNum>
  <w:abstractNum w:abstractNumId="33" w15:restartNumberingAfterBreak="0">
    <w:nsid w:val="49DC377D"/>
    <w:multiLevelType w:val="hybridMultilevel"/>
    <w:tmpl w:val="0C7E7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A876F2F"/>
    <w:multiLevelType w:val="multilevel"/>
    <w:tmpl w:val="7E3E6D1C"/>
    <w:lvl w:ilvl="0">
      <w:start w:val="1"/>
      <w:numFmt w:val="lowerLetter"/>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CF87CE5"/>
    <w:multiLevelType w:val="hybridMultilevel"/>
    <w:tmpl w:val="98963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03A1537"/>
    <w:multiLevelType w:val="multilevel"/>
    <w:tmpl w:val="F5404AB0"/>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3256CA1"/>
    <w:multiLevelType w:val="hybridMultilevel"/>
    <w:tmpl w:val="71428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643B8A"/>
    <w:multiLevelType w:val="multilevel"/>
    <w:tmpl w:val="FF866138"/>
    <w:numStyleLink w:val="HRBullet"/>
  </w:abstractNum>
  <w:abstractNum w:abstractNumId="39" w15:restartNumberingAfterBreak="0">
    <w:nsid w:val="56553310"/>
    <w:multiLevelType w:val="multilevel"/>
    <w:tmpl w:val="B7A00C42"/>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6EB2C4A"/>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7DE285F"/>
    <w:multiLevelType w:val="hybridMultilevel"/>
    <w:tmpl w:val="025847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881723"/>
    <w:multiLevelType w:val="multilevel"/>
    <w:tmpl w:val="D670FD9A"/>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910161E"/>
    <w:multiLevelType w:val="multilevel"/>
    <w:tmpl w:val="D670FD9A"/>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B9F23A0"/>
    <w:multiLevelType w:val="multilevel"/>
    <w:tmpl w:val="9DF0B218"/>
    <w:lvl w:ilvl="0">
      <w:start w:val="5"/>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E11320"/>
    <w:multiLevelType w:val="hybridMultilevel"/>
    <w:tmpl w:val="D7EAC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DB81559"/>
    <w:multiLevelType w:val="hybridMultilevel"/>
    <w:tmpl w:val="339C6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32D7760"/>
    <w:multiLevelType w:val="multilevel"/>
    <w:tmpl w:val="FF866138"/>
    <w:numStyleLink w:val="HRBullet"/>
  </w:abstractNum>
  <w:abstractNum w:abstractNumId="48" w15:restartNumberingAfterBreak="0">
    <w:nsid w:val="63352E14"/>
    <w:multiLevelType w:val="multilevel"/>
    <w:tmpl w:val="FF866138"/>
    <w:numStyleLink w:val="HRBullet"/>
  </w:abstractNum>
  <w:abstractNum w:abstractNumId="49" w15:restartNumberingAfterBreak="0">
    <w:nsid w:val="680F4CBE"/>
    <w:multiLevelType w:val="multilevel"/>
    <w:tmpl w:val="FF866138"/>
    <w:numStyleLink w:val="HRBullet"/>
  </w:abstractNum>
  <w:abstractNum w:abstractNumId="50" w15:restartNumberingAfterBreak="0">
    <w:nsid w:val="68217E37"/>
    <w:multiLevelType w:val="hybridMultilevel"/>
    <w:tmpl w:val="C5EEB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8C93ADF"/>
    <w:multiLevelType w:val="hybridMultilevel"/>
    <w:tmpl w:val="5BFA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586D19"/>
    <w:multiLevelType w:val="multilevel"/>
    <w:tmpl w:val="FF866138"/>
    <w:numStyleLink w:val="HRBullet"/>
  </w:abstractNum>
  <w:abstractNum w:abstractNumId="53" w15:restartNumberingAfterBreak="0">
    <w:nsid w:val="6ACA0B7D"/>
    <w:multiLevelType w:val="multilevel"/>
    <w:tmpl w:val="FF866138"/>
    <w:numStyleLink w:val="HRBullet"/>
  </w:abstractNum>
  <w:abstractNum w:abstractNumId="54"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ascii="Symbol" w:hAnsi="Symbol" w:hint="default"/>
        <w:b w:val="0"/>
        <w:i w:val="0"/>
        <w:color w:val="4B4B4B"/>
        <w:sz w:val="20"/>
        <w:szCs w:val="20"/>
      </w:rPr>
    </w:lvl>
    <w:lvl w:ilvl="1">
      <w:start w:val="1"/>
      <w:numFmt w:val="bullet"/>
      <w:lvlText w:val="-"/>
      <w:lvlJc w:val="left"/>
      <w:pPr>
        <w:tabs>
          <w:tab w:val="num" w:pos="1134"/>
        </w:tabs>
        <w:ind w:left="1134" w:hanging="567"/>
      </w:pPr>
      <w:rPr>
        <w:rFonts w:ascii="Arial" w:hAnsi="Arial" w:hint="default"/>
        <w:b w:val="0"/>
        <w:i w:val="0"/>
        <w:color w:val="4B4B4B"/>
        <w:sz w:val="20"/>
        <w:szCs w:val="20"/>
      </w:rPr>
    </w:lvl>
    <w:lvl w:ilvl="2">
      <w:start w:val="1"/>
      <w:numFmt w:val="bullet"/>
      <w:lvlText w:val=""/>
      <w:lvlJc w:val="left"/>
      <w:pPr>
        <w:tabs>
          <w:tab w:val="num" w:pos="1701"/>
        </w:tabs>
        <w:ind w:left="1701" w:hanging="567"/>
      </w:pPr>
      <w:rPr>
        <w:rFonts w:ascii="Symbol" w:hAnsi="Symbol" w:hint="default"/>
        <w:b w:val="0"/>
        <w:i w:val="0"/>
        <w:color w:val="4B4B4B"/>
        <w:sz w:val="20"/>
        <w:szCs w:val="20"/>
      </w:rPr>
    </w:lvl>
    <w:lvl w:ilvl="3">
      <w:start w:val="1"/>
      <w:numFmt w:val="bullet"/>
      <w:lvlText w:val=""/>
      <w:lvlJc w:val="left"/>
      <w:pPr>
        <w:tabs>
          <w:tab w:val="num" w:pos="2835"/>
        </w:tabs>
        <w:ind w:left="2835" w:hanging="567"/>
      </w:pPr>
      <w:rPr>
        <w:rFonts w:ascii="Symbol" w:hAnsi="Symbol" w:hint="default"/>
        <w:b w:val="0"/>
        <w:i w:val="0"/>
        <w:color w:val="auto"/>
        <w:sz w:val="22"/>
      </w:rPr>
    </w:lvl>
    <w:lvl w:ilvl="4">
      <w:start w:val="1"/>
      <w:numFmt w:val="bullet"/>
      <w:lvlText w:val="·"/>
      <w:lvlJc w:val="left"/>
      <w:pPr>
        <w:tabs>
          <w:tab w:val="num" w:pos="1418"/>
        </w:tabs>
        <w:ind w:left="1418" w:hanging="567"/>
      </w:pPr>
      <w:rPr>
        <w:rFonts w:ascii="Symbol" w:hAnsi="Symbol" w:hint="default"/>
        <w:b w:val="0"/>
        <w:i w:val="0"/>
        <w:color w:val="auto"/>
        <w:sz w:val="22"/>
      </w:rPr>
    </w:lvl>
    <w:lvl w:ilvl="5">
      <w:start w:val="1"/>
      <w:numFmt w:val="bullet"/>
      <w:lvlText w:val="·"/>
      <w:lvlJc w:val="left"/>
      <w:pPr>
        <w:tabs>
          <w:tab w:val="num" w:pos="1985"/>
        </w:tabs>
        <w:ind w:left="1985" w:hanging="567"/>
      </w:pPr>
      <w:rPr>
        <w:rFonts w:ascii="Symbol" w:hAnsi="Symbol" w:hint="default"/>
        <w:b w:val="0"/>
        <w:i w:val="0"/>
        <w:color w:val="auto"/>
        <w:sz w:val="22"/>
      </w:rPr>
    </w:lvl>
    <w:lvl w:ilvl="6">
      <w:start w:val="1"/>
      <w:numFmt w:val="bullet"/>
      <w:lvlRestart w:val="0"/>
      <w:lvlText w:val="·"/>
      <w:lvlJc w:val="left"/>
      <w:pPr>
        <w:tabs>
          <w:tab w:val="num" w:pos="851"/>
        </w:tabs>
        <w:ind w:left="851" w:hanging="851"/>
      </w:pPr>
      <w:rPr>
        <w:rFonts w:ascii="Symbol" w:hAnsi="Symbol" w:hint="default"/>
        <w:b w:val="0"/>
        <w:i w:val="0"/>
        <w:color w:val="auto"/>
        <w:sz w:val="22"/>
      </w:rPr>
    </w:lvl>
    <w:lvl w:ilvl="7">
      <w:start w:val="1"/>
      <w:numFmt w:val="bullet"/>
      <w:lvlRestart w:val="0"/>
      <w:lvlText w:val="·"/>
      <w:lvlJc w:val="left"/>
      <w:pPr>
        <w:tabs>
          <w:tab w:val="num" w:pos="1418"/>
        </w:tabs>
        <w:ind w:left="1418" w:hanging="567"/>
      </w:pPr>
      <w:rPr>
        <w:rFonts w:ascii="Symbol" w:hAnsi="Symbol" w:hint="default"/>
        <w:b w:val="0"/>
        <w:i w:val="0"/>
        <w:color w:val="auto"/>
        <w:sz w:val="22"/>
      </w:rPr>
    </w:lvl>
    <w:lvl w:ilvl="8">
      <w:start w:val="1"/>
      <w:numFmt w:val="bullet"/>
      <w:lvlText w:val="·"/>
      <w:lvlJc w:val="left"/>
      <w:pPr>
        <w:tabs>
          <w:tab w:val="num" w:pos="1985"/>
        </w:tabs>
        <w:ind w:left="1985" w:hanging="567"/>
      </w:pPr>
      <w:rPr>
        <w:rFonts w:ascii="Symbol" w:hAnsi="Symbol" w:hint="default"/>
        <w:b w:val="0"/>
        <w:i w:val="0"/>
        <w:color w:val="auto"/>
        <w:sz w:val="22"/>
      </w:rPr>
    </w:lvl>
  </w:abstractNum>
  <w:abstractNum w:abstractNumId="55" w15:restartNumberingAfterBreak="0">
    <w:nsid w:val="6D133DCA"/>
    <w:multiLevelType w:val="hybridMultilevel"/>
    <w:tmpl w:val="63203540"/>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E85216E"/>
    <w:multiLevelType w:val="hybridMultilevel"/>
    <w:tmpl w:val="452283EC"/>
    <w:lvl w:ilvl="0" w:tplc="5C0A56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3FA6CC"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06351F7"/>
    <w:multiLevelType w:val="hybridMultilevel"/>
    <w:tmpl w:val="84040E70"/>
    <w:lvl w:ilvl="0" w:tplc="0809001B">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1FA420E"/>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5ED5E06"/>
    <w:multiLevelType w:val="hybridMultilevel"/>
    <w:tmpl w:val="9994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7825E7"/>
    <w:multiLevelType w:val="multilevel"/>
    <w:tmpl w:val="567E87DA"/>
    <w:lvl w:ilvl="0">
      <w:start w:val="1"/>
      <w:numFmt w:val="bullet"/>
      <w:pStyle w:val="hBullet1"/>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1418"/>
        </w:tabs>
        <w:ind w:left="1418" w:hanging="567"/>
      </w:pPr>
      <w:rPr>
        <w:rFonts w:ascii="Symbol" w:hAnsi="Symbol" w:hint="default"/>
        <w:color w:val="auto"/>
      </w:rPr>
    </w:lvl>
    <w:lvl w:ilvl="4">
      <w:start w:val="1"/>
      <w:numFmt w:val="bullet"/>
      <w:lvlText w:val="·"/>
      <w:lvlJc w:val="left"/>
      <w:pPr>
        <w:tabs>
          <w:tab w:val="num" w:pos="851"/>
        </w:tabs>
        <w:ind w:left="851" w:hanging="851"/>
      </w:pPr>
      <w:rPr>
        <w:rFonts w:ascii="Symbol" w:hAnsi="Symbol"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194FC2"/>
    <w:multiLevelType w:val="hybridMultilevel"/>
    <w:tmpl w:val="207A5F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B425655"/>
    <w:multiLevelType w:val="hybridMultilevel"/>
    <w:tmpl w:val="7B501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C272F4C"/>
    <w:multiLevelType w:val="hybridMultilevel"/>
    <w:tmpl w:val="6040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33763A"/>
    <w:multiLevelType w:val="hybridMultilevel"/>
    <w:tmpl w:val="B5064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D2420FD"/>
    <w:multiLevelType w:val="hybridMultilevel"/>
    <w:tmpl w:val="6BAE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61"/>
  </w:num>
  <w:num w:numId="4">
    <w:abstractNumId w:val="62"/>
  </w:num>
  <w:num w:numId="5">
    <w:abstractNumId w:val="7"/>
  </w:num>
  <w:num w:numId="6">
    <w:abstractNumId w:val="54"/>
  </w:num>
  <w:num w:numId="7">
    <w:abstractNumId w:val="6"/>
  </w:num>
  <w:num w:numId="8">
    <w:abstractNumId w:val="57"/>
  </w:num>
  <w:num w:numId="9">
    <w:abstractNumId w:val="4"/>
  </w:num>
  <w:num w:numId="10">
    <w:abstractNumId w:val="26"/>
  </w:num>
  <w:num w:numId="11">
    <w:abstractNumId w:val="12"/>
    <w:lvlOverride w:ilvl="0">
      <w:lvl w:ilvl="0">
        <w:start w:val="1"/>
        <w:numFmt w:val="decimal"/>
        <w:pStyle w:val="NumberHymans"/>
        <w:lvlText w:val="%1"/>
        <w:lvlJc w:val="left"/>
        <w:pPr>
          <w:ind w:left="567" w:hanging="567"/>
        </w:pPr>
        <w:rPr>
          <w:rFonts w:ascii="Arial" w:hAnsi="Arial" w:hint="default"/>
          <w:color w:val="4B4B4B"/>
          <w:sz w:val="20"/>
        </w:rPr>
      </w:lvl>
    </w:lvlOverride>
  </w:num>
  <w:num w:numId="12">
    <w:abstractNumId w:val="10"/>
  </w:num>
  <w:num w:numId="13">
    <w:abstractNumId w:val="23"/>
  </w:num>
  <w:num w:numId="14">
    <w:abstractNumId w:val="21"/>
  </w:num>
  <w:num w:numId="15">
    <w:abstractNumId w:val="15"/>
  </w:num>
  <w:num w:numId="16">
    <w:abstractNumId w:val="13"/>
  </w:num>
  <w:num w:numId="17">
    <w:abstractNumId w:val="63"/>
  </w:num>
  <w:num w:numId="18">
    <w:abstractNumId w:val="25"/>
  </w:num>
  <w:num w:numId="19">
    <w:abstractNumId w:val="60"/>
  </w:num>
  <w:num w:numId="20">
    <w:abstractNumId w:val="17"/>
  </w:num>
  <w:num w:numId="21">
    <w:abstractNumId w:val="55"/>
  </w:num>
  <w:num w:numId="22">
    <w:abstractNumId w:val="46"/>
  </w:num>
  <w:num w:numId="23">
    <w:abstractNumId w:val="34"/>
  </w:num>
  <w:num w:numId="24">
    <w:abstractNumId w:val="20"/>
  </w:num>
  <w:num w:numId="25">
    <w:abstractNumId w:val="8"/>
  </w:num>
  <w:num w:numId="26">
    <w:abstractNumId w:val="47"/>
  </w:num>
  <w:num w:numId="27">
    <w:abstractNumId w:val="53"/>
  </w:num>
  <w:num w:numId="28">
    <w:abstractNumId w:val="52"/>
    <w:lvlOverride w:ilvl="0">
      <w:lvl w:ilvl="0">
        <w:start w:val="1"/>
        <w:numFmt w:val="decimal"/>
        <w:lvlText w:val="%1."/>
        <w:lvlJc w:val="left"/>
        <w:pPr>
          <w:ind w:left="567" w:hanging="567"/>
        </w:pPr>
        <w:rPr>
          <w:rFonts w:hint="default"/>
          <w:color w:val="4B4B4B"/>
          <w:sz w:val="20"/>
        </w:rPr>
      </w:lvl>
    </w:lvlOverride>
  </w:num>
  <w:num w:numId="29">
    <w:abstractNumId w:val="48"/>
  </w:num>
  <w:num w:numId="30">
    <w:abstractNumId w:val="38"/>
  </w:num>
  <w:num w:numId="31">
    <w:abstractNumId w:val="49"/>
    <w:lvlOverride w:ilvl="0">
      <w:lvl w:ilvl="0">
        <w:start w:val="1"/>
        <w:numFmt w:val="decimal"/>
        <w:lvlText w:val="%1."/>
        <w:lvlJc w:val="left"/>
        <w:pPr>
          <w:ind w:left="567" w:hanging="567"/>
        </w:pPr>
        <w:rPr>
          <w:rFonts w:hint="default"/>
          <w:b w:val="0"/>
          <w:color w:val="4B4B4B"/>
          <w:sz w:val="20"/>
        </w:rPr>
      </w:lvl>
    </w:lvlOverride>
  </w:num>
  <w:num w:numId="32">
    <w:abstractNumId w:val="64"/>
  </w:num>
  <w:num w:numId="33">
    <w:abstractNumId w:val="35"/>
  </w:num>
  <w:num w:numId="34">
    <w:abstractNumId w:val="2"/>
  </w:num>
  <w:num w:numId="35">
    <w:abstractNumId w:val="56"/>
  </w:num>
  <w:num w:numId="36">
    <w:abstractNumId w:val="45"/>
  </w:num>
  <w:num w:numId="37">
    <w:abstractNumId w:val="30"/>
  </w:num>
  <w:num w:numId="38">
    <w:abstractNumId w:val="31"/>
  </w:num>
  <w:num w:numId="39">
    <w:abstractNumId w:val="50"/>
  </w:num>
  <w:num w:numId="40">
    <w:abstractNumId w:val="33"/>
  </w:num>
  <w:num w:numId="41">
    <w:abstractNumId w:val="66"/>
  </w:num>
  <w:num w:numId="42">
    <w:abstractNumId w:val="37"/>
  </w:num>
  <w:num w:numId="43">
    <w:abstractNumId w:val="1"/>
  </w:num>
  <w:num w:numId="44">
    <w:abstractNumId w:val="11"/>
  </w:num>
  <w:num w:numId="45">
    <w:abstractNumId w:val="18"/>
  </w:num>
  <w:num w:numId="46">
    <w:abstractNumId w:val="9"/>
  </w:num>
  <w:num w:numId="47">
    <w:abstractNumId w:val="58"/>
  </w:num>
  <w:num w:numId="48">
    <w:abstractNumId w:val="27"/>
  </w:num>
  <w:num w:numId="49">
    <w:abstractNumId w:val="59"/>
  </w:num>
  <w:num w:numId="50">
    <w:abstractNumId w:val="40"/>
  </w:num>
  <w:num w:numId="51">
    <w:abstractNumId w:val="24"/>
  </w:num>
  <w:num w:numId="52">
    <w:abstractNumId w:val="36"/>
  </w:num>
  <w:num w:numId="53">
    <w:abstractNumId w:val="44"/>
  </w:num>
  <w:num w:numId="54">
    <w:abstractNumId w:val="39"/>
  </w:num>
  <w:num w:numId="55">
    <w:abstractNumId w:val="43"/>
  </w:num>
  <w:num w:numId="56">
    <w:abstractNumId w:val="67"/>
  </w:num>
  <w:num w:numId="57">
    <w:abstractNumId w:val="5"/>
  </w:num>
  <w:num w:numId="58">
    <w:abstractNumId w:val="3"/>
  </w:num>
  <w:num w:numId="59">
    <w:abstractNumId w:val="32"/>
  </w:num>
  <w:num w:numId="60">
    <w:abstractNumId w:val="16"/>
  </w:num>
  <w:num w:numId="61">
    <w:abstractNumId w:val="14"/>
  </w:num>
  <w:num w:numId="62">
    <w:abstractNumId w:val="65"/>
  </w:num>
  <w:num w:numId="63">
    <w:abstractNumId w:val="19"/>
  </w:num>
  <w:num w:numId="64">
    <w:abstractNumId w:val="41"/>
  </w:num>
  <w:num w:numId="65">
    <w:abstractNumId w:val="29"/>
  </w:num>
  <w:num w:numId="66">
    <w:abstractNumId w:val="4"/>
  </w:num>
  <w:num w:numId="67">
    <w:abstractNumId w:val="0"/>
  </w:num>
  <w:num w:numId="68">
    <w:abstractNumId w:val="51"/>
  </w:num>
  <w:num w:numId="69">
    <w:abstractNumId w:val="28"/>
  </w:num>
  <w:num w:numId="70">
    <w:abstractNumId w:val="42"/>
  </w:num>
  <w:num w:numId="71">
    <w:abstractNumId w:val="2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40"/>
    <w:rsid w:val="00001CBD"/>
    <w:rsid w:val="00004240"/>
    <w:rsid w:val="0000606C"/>
    <w:rsid w:val="00007FAA"/>
    <w:rsid w:val="00014F6A"/>
    <w:rsid w:val="00015D04"/>
    <w:rsid w:val="000162E0"/>
    <w:rsid w:val="000164F3"/>
    <w:rsid w:val="00023516"/>
    <w:rsid w:val="0002793F"/>
    <w:rsid w:val="0003700A"/>
    <w:rsid w:val="000437BF"/>
    <w:rsid w:val="00053468"/>
    <w:rsid w:val="00054A7E"/>
    <w:rsid w:val="00062EB1"/>
    <w:rsid w:val="000656D9"/>
    <w:rsid w:val="000668AD"/>
    <w:rsid w:val="00066F40"/>
    <w:rsid w:val="00067C5A"/>
    <w:rsid w:val="00067DE3"/>
    <w:rsid w:val="00070E78"/>
    <w:rsid w:val="00076419"/>
    <w:rsid w:val="00076F0E"/>
    <w:rsid w:val="000812F1"/>
    <w:rsid w:val="00084CC1"/>
    <w:rsid w:val="0008600D"/>
    <w:rsid w:val="00086561"/>
    <w:rsid w:val="00095C94"/>
    <w:rsid w:val="00095DBE"/>
    <w:rsid w:val="000B0CFD"/>
    <w:rsid w:val="000C1401"/>
    <w:rsid w:val="000C7235"/>
    <w:rsid w:val="000D137D"/>
    <w:rsid w:val="000D48EC"/>
    <w:rsid w:val="000E21D1"/>
    <w:rsid w:val="000E2C45"/>
    <w:rsid w:val="000E5361"/>
    <w:rsid w:val="000E6EBD"/>
    <w:rsid w:val="000F1925"/>
    <w:rsid w:val="000F2984"/>
    <w:rsid w:val="000F2B29"/>
    <w:rsid w:val="000F5095"/>
    <w:rsid w:val="000F5A6F"/>
    <w:rsid w:val="0010073D"/>
    <w:rsid w:val="001015A4"/>
    <w:rsid w:val="00106843"/>
    <w:rsid w:val="00106EC7"/>
    <w:rsid w:val="001078AD"/>
    <w:rsid w:val="00107C1C"/>
    <w:rsid w:val="00111305"/>
    <w:rsid w:val="001134B7"/>
    <w:rsid w:val="0012092B"/>
    <w:rsid w:val="00124B28"/>
    <w:rsid w:val="00130640"/>
    <w:rsid w:val="001326F9"/>
    <w:rsid w:val="00140798"/>
    <w:rsid w:val="00140C88"/>
    <w:rsid w:val="0014257D"/>
    <w:rsid w:val="00155A0C"/>
    <w:rsid w:val="00156F81"/>
    <w:rsid w:val="00160475"/>
    <w:rsid w:val="001636FD"/>
    <w:rsid w:val="00166010"/>
    <w:rsid w:val="00170768"/>
    <w:rsid w:val="00171DE5"/>
    <w:rsid w:val="0017378E"/>
    <w:rsid w:val="00173809"/>
    <w:rsid w:val="00174AD9"/>
    <w:rsid w:val="00182EEB"/>
    <w:rsid w:val="00185BF8"/>
    <w:rsid w:val="00187CF8"/>
    <w:rsid w:val="001917C0"/>
    <w:rsid w:val="00192519"/>
    <w:rsid w:val="001949EF"/>
    <w:rsid w:val="0019522B"/>
    <w:rsid w:val="001A6104"/>
    <w:rsid w:val="001B0070"/>
    <w:rsid w:val="001B1BE2"/>
    <w:rsid w:val="001B33C5"/>
    <w:rsid w:val="001B5DBD"/>
    <w:rsid w:val="001C25F0"/>
    <w:rsid w:val="001C33EC"/>
    <w:rsid w:val="001C583F"/>
    <w:rsid w:val="001D0255"/>
    <w:rsid w:val="001D15A6"/>
    <w:rsid w:val="001D3B9D"/>
    <w:rsid w:val="001E0C2B"/>
    <w:rsid w:val="001E1370"/>
    <w:rsid w:val="001F0925"/>
    <w:rsid w:val="001F5FDD"/>
    <w:rsid w:val="0020529A"/>
    <w:rsid w:val="0020584C"/>
    <w:rsid w:val="00214C70"/>
    <w:rsid w:val="0021586D"/>
    <w:rsid w:val="002163E2"/>
    <w:rsid w:val="002231A3"/>
    <w:rsid w:val="00223C88"/>
    <w:rsid w:val="00223FA9"/>
    <w:rsid w:val="0022596A"/>
    <w:rsid w:val="00235FCC"/>
    <w:rsid w:val="00237746"/>
    <w:rsid w:val="0024245C"/>
    <w:rsid w:val="00247456"/>
    <w:rsid w:val="00250FA8"/>
    <w:rsid w:val="00251BC2"/>
    <w:rsid w:val="00261784"/>
    <w:rsid w:val="0026450C"/>
    <w:rsid w:val="00265C15"/>
    <w:rsid w:val="002666CD"/>
    <w:rsid w:val="00272C87"/>
    <w:rsid w:val="00276A73"/>
    <w:rsid w:val="00283E56"/>
    <w:rsid w:val="002840B5"/>
    <w:rsid w:val="00286C95"/>
    <w:rsid w:val="0029063C"/>
    <w:rsid w:val="00296E9F"/>
    <w:rsid w:val="00297CA1"/>
    <w:rsid w:val="002A3C36"/>
    <w:rsid w:val="002B0D11"/>
    <w:rsid w:val="002B205F"/>
    <w:rsid w:val="002B2B6E"/>
    <w:rsid w:val="002B6330"/>
    <w:rsid w:val="002B7011"/>
    <w:rsid w:val="002C5C24"/>
    <w:rsid w:val="002D2872"/>
    <w:rsid w:val="002D32C5"/>
    <w:rsid w:val="002D4259"/>
    <w:rsid w:val="002D56FB"/>
    <w:rsid w:val="002D5D47"/>
    <w:rsid w:val="002E1AD7"/>
    <w:rsid w:val="002E23BC"/>
    <w:rsid w:val="002E2BA0"/>
    <w:rsid w:val="002E479F"/>
    <w:rsid w:val="002F4FE0"/>
    <w:rsid w:val="002F6033"/>
    <w:rsid w:val="002F7970"/>
    <w:rsid w:val="00302D29"/>
    <w:rsid w:val="00304051"/>
    <w:rsid w:val="0030410E"/>
    <w:rsid w:val="003050E4"/>
    <w:rsid w:val="00307D84"/>
    <w:rsid w:val="00312901"/>
    <w:rsid w:val="00317572"/>
    <w:rsid w:val="0032716A"/>
    <w:rsid w:val="00330825"/>
    <w:rsid w:val="003354FF"/>
    <w:rsid w:val="00335743"/>
    <w:rsid w:val="003432B9"/>
    <w:rsid w:val="003502FA"/>
    <w:rsid w:val="0035093B"/>
    <w:rsid w:val="0035108E"/>
    <w:rsid w:val="00354463"/>
    <w:rsid w:val="00354BEE"/>
    <w:rsid w:val="00356234"/>
    <w:rsid w:val="00357A7C"/>
    <w:rsid w:val="00361523"/>
    <w:rsid w:val="00362304"/>
    <w:rsid w:val="003631BC"/>
    <w:rsid w:val="00365BB4"/>
    <w:rsid w:val="003803EF"/>
    <w:rsid w:val="00385D25"/>
    <w:rsid w:val="00394BC3"/>
    <w:rsid w:val="003964B3"/>
    <w:rsid w:val="003A090E"/>
    <w:rsid w:val="003A11C3"/>
    <w:rsid w:val="003A2056"/>
    <w:rsid w:val="003A4D19"/>
    <w:rsid w:val="003A4DFA"/>
    <w:rsid w:val="003B09EF"/>
    <w:rsid w:val="003B1793"/>
    <w:rsid w:val="003B5E98"/>
    <w:rsid w:val="003C67B1"/>
    <w:rsid w:val="003D08BD"/>
    <w:rsid w:val="003D1A8E"/>
    <w:rsid w:val="003E331A"/>
    <w:rsid w:val="003E6CB1"/>
    <w:rsid w:val="003E7017"/>
    <w:rsid w:val="003F2370"/>
    <w:rsid w:val="003F3DCB"/>
    <w:rsid w:val="00401D37"/>
    <w:rsid w:val="004029D1"/>
    <w:rsid w:val="00405352"/>
    <w:rsid w:val="0041091C"/>
    <w:rsid w:val="00410F4A"/>
    <w:rsid w:val="00411D78"/>
    <w:rsid w:val="004132E9"/>
    <w:rsid w:val="00413FC9"/>
    <w:rsid w:val="0041502C"/>
    <w:rsid w:val="00416A92"/>
    <w:rsid w:val="004174D8"/>
    <w:rsid w:val="00423A6E"/>
    <w:rsid w:val="00425E54"/>
    <w:rsid w:val="00426B89"/>
    <w:rsid w:val="00433133"/>
    <w:rsid w:val="004336B1"/>
    <w:rsid w:val="00433827"/>
    <w:rsid w:val="00440BE1"/>
    <w:rsid w:val="00443599"/>
    <w:rsid w:val="0044469E"/>
    <w:rsid w:val="004452F9"/>
    <w:rsid w:val="0044553B"/>
    <w:rsid w:val="00446199"/>
    <w:rsid w:val="0045045C"/>
    <w:rsid w:val="00450498"/>
    <w:rsid w:val="00460211"/>
    <w:rsid w:val="00460442"/>
    <w:rsid w:val="004665E7"/>
    <w:rsid w:val="004727FA"/>
    <w:rsid w:val="004765CC"/>
    <w:rsid w:val="0047682A"/>
    <w:rsid w:val="0047779C"/>
    <w:rsid w:val="00486376"/>
    <w:rsid w:val="0048670D"/>
    <w:rsid w:val="00492F38"/>
    <w:rsid w:val="00494043"/>
    <w:rsid w:val="00496B48"/>
    <w:rsid w:val="004A33F1"/>
    <w:rsid w:val="004A402B"/>
    <w:rsid w:val="004A4AB1"/>
    <w:rsid w:val="004B29E4"/>
    <w:rsid w:val="004B7C6A"/>
    <w:rsid w:val="004C12EE"/>
    <w:rsid w:val="004C14AE"/>
    <w:rsid w:val="004C2543"/>
    <w:rsid w:val="004C5A5A"/>
    <w:rsid w:val="004C6137"/>
    <w:rsid w:val="004C7920"/>
    <w:rsid w:val="004D3F80"/>
    <w:rsid w:val="004E0A90"/>
    <w:rsid w:val="004E0B50"/>
    <w:rsid w:val="004E7660"/>
    <w:rsid w:val="004E7CDC"/>
    <w:rsid w:val="004F0154"/>
    <w:rsid w:val="004F3E00"/>
    <w:rsid w:val="004F705D"/>
    <w:rsid w:val="004F7915"/>
    <w:rsid w:val="00504B1C"/>
    <w:rsid w:val="00515676"/>
    <w:rsid w:val="00515D3F"/>
    <w:rsid w:val="00517298"/>
    <w:rsid w:val="00517F6F"/>
    <w:rsid w:val="00520622"/>
    <w:rsid w:val="0052118E"/>
    <w:rsid w:val="0052119A"/>
    <w:rsid w:val="00523579"/>
    <w:rsid w:val="00525044"/>
    <w:rsid w:val="00530D6D"/>
    <w:rsid w:val="00531F39"/>
    <w:rsid w:val="00535194"/>
    <w:rsid w:val="005362C0"/>
    <w:rsid w:val="00536C95"/>
    <w:rsid w:val="00541E1A"/>
    <w:rsid w:val="0054303C"/>
    <w:rsid w:val="0054422F"/>
    <w:rsid w:val="0054479C"/>
    <w:rsid w:val="00546EEB"/>
    <w:rsid w:val="00553068"/>
    <w:rsid w:val="00553810"/>
    <w:rsid w:val="0055488B"/>
    <w:rsid w:val="00556D4F"/>
    <w:rsid w:val="0055787B"/>
    <w:rsid w:val="00557E3C"/>
    <w:rsid w:val="00560CD7"/>
    <w:rsid w:val="0056170F"/>
    <w:rsid w:val="00562CFC"/>
    <w:rsid w:val="00570424"/>
    <w:rsid w:val="00571309"/>
    <w:rsid w:val="0057761B"/>
    <w:rsid w:val="00586C51"/>
    <w:rsid w:val="005969E5"/>
    <w:rsid w:val="005A2ECE"/>
    <w:rsid w:val="005A48F3"/>
    <w:rsid w:val="005A51A7"/>
    <w:rsid w:val="005B1200"/>
    <w:rsid w:val="005B3DDF"/>
    <w:rsid w:val="005B4E36"/>
    <w:rsid w:val="005B6D79"/>
    <w:rsid w:val="005B79E0"/>
    <w:rsid w:val="005C4414"/>
    <w:rsid w:val="005C7687"/>
    <w:rsid w:val="005D4C20"/>
    <w:rsid w:val="005D4E27"/>
    <w:rsid w:val="005D5484"/>
    <w:rsid w:val="005E3D00"/>
    <w:rsid w:val="005E48A3"/>
    <w:rsid w:val="005E7992"/>
    <w:rsid w:val="005E7F0F"/>
    <w:rsid w:val="005F1F5E"/>
    <w:rsid w:val="005F4D11"/>
    <w:rsid w:val="005F68B1"/>
    <w:rsid w:val="00606ED7"/>
    <w:rsid w:val="00612ACF"/>
    <w:rsid w:val="006139D1"/>
    <w:rsid w:val="00620B23"/>
    <w:rsid w:val="006260D1"/>
    <w:rsid w:val="006322FE"/>
    <w:rsid w:val="006356A0"/>
    <w:rsid w:val="00641E34"/>
    <w:rsid w:val="00642DD4"/>
    <w:rsid w:val="00642DD9"/>
    <w:rsid w:val="0065292B"/>
    <w:rsid w:val="00654C78"/>
    <w:rsid w:val="00656832"/>
    <w:rsid w:val="006629B9"/>
    <w:rsid w:val="00662F0B"/>
    <w:rsid w:val="0066469C"/>
    <w:rsid w:val="00671F00"/>
    <w:rsid w:val="00671FC6"/>
    <w:rsid w:val="006734BC"/>
    <w:rsid w:val="00674D06"/>
    <w:rsid w:val="00680783"/>
    <w:rsid w:val="00682216"/>
    <w:rsid w:val="00684370"/>
    <w:rsid w:val="00690EA0"/>
    <w:rsid w:val="006927B7"/>
    <w:rsid w:val="006A7A87"/>
    <w:rsid w:val="006B22B2"/>
    <w:rsid w:val="006C154D"/>
    <w:rsid w:val="006C79B6"/>
    <w:rsid w:val="006D05BD"/>
    <w:rsid w:val="006D1568"/>
    <w:rsid w:val="006D1A56"/>
    <w:rsid w:val="006D74B9"/>
    <w:rsid w:val="006E263F"/>
    <w:rsid w:val="006E3F0D"/>
    <w:rsid w:val="006E46B6"/>
    <w:rsid w:val="006F5C75"/>
    <w:rsid w:val="006F65B2"/>
    <w:rsid w:val="006F67F9"/>
    <w:rsid w:val="006F6ECC"/>
    <w:rsid w:val="006F7051"/>
    <w:rsid w:val="006F785D"/>
    <w:rsid w:val="00707DC7"/>
    <w:rsid w:val="00710355"/>
    <w:rsid w:val="007336DE"/>
    <w:rsid w:val="00734315"/>
    <w:rsid w:val="00741217"/>
    <w:rsid w:val="007449B2"/>
    <w:rsid w:val="007449D2"/>
    <w:rsid w:val="00746529"/>
    <w:rsid w:val="007508DE"/>
    <w:rsid w:val="0075349A"/>
    <w:rsid w:val="00755FB2"/>
    <w:rsid w:val="00756732"/>
    <w:rsid w:val="00760F5D"/>
    <w:rsid w:val="00771BF9"/>
    <w:rsid w:val="00773464"/>
    <w:rsid w:val="00774B7F"/>
    <w:rsid w:val="00774BAF"/>
    <w:rsid w:val="0078592F"/>
    <w:rsid w:val="00786D64"/>
    <w:rsid w:val="007902C6"/>
    <w:rsid w:val="00791AEA"/>
    <w:rsid w:val="00795447"/>
    <w:rsid w:val="0079698D"/>
    <w:rsid w:val="007A4A66"/>
    <w:rsid w:val="007B7054"/>
    <w:rsid w:val="007C308A"/>
    <w:rsid w:val="007C3E9E"/>
    <w:rsid w:val="007D474F"/>
    <w:rsid w:val="007E1630"/>
    <w:rsid w:val="007E3BA2"/>
    <w:rsid w:val="007E5AE9"/>
    <w:rsid w:val="007E6001"/>
    <w:rsid w:val="007E7A2B"/>
    <w:rsid w:val="007F7215"/>
    <w:rsid w:val="00800297"/>
    <w:rsid w:val="00805EF8"/>
    <w:rsid w:val="00806B6C"/>
    <w:rsid w:val="00810C94"/>
    <w:rsid w:val="008118F3"/>
    <w:rsid w:val="00811F98"/>
    <w:rsid w:val="00813305"/>
    <w:rsid w:val="00813908"/>
    <w:rsid w:val="00822CD0"/>
    <w:rsid w:val="0082357F"/>
    <w:rsid w:val="0082617D"/>
    <w:rsid w:val="0084125F"/>
    <w:rsid w:val="0084755C"/>
    <w:rsid w:val="0085083E"/>
    <w:rsid w:val="00852254"/>
    <w:rsid w:val="00862D8F"/>
    <w:rsid w:val="00862F9A"/>
    <w:rsid w:val="00863B9C"/>
    <w:rsid w:val="00872580"/>
    <w:rsid w:val="008748D8"/>
    <w:rsid w:val="0087746B"/>
    <w:rsid w:val="008835D4"/>
    <w:rsid w:val="00896A21"/>
    <w:rsid w:val="0089780B"/>
    <w:rsid w:val="008A770D"/>
    <w:rsid w:val="008B1C25"/>
    <w:rsid w:val="008B3CE4"/>
    <w:rsid w:val="008B4F7B"/>
    <w:rsid w:val="008B55B6"/>
    <w:rsid w:val="008C0BC6"/>
    <w:rsid w:val="008C1648"/>
    <w:rsid w:val="008C2382"/>
    <w:rsid w:val="008C28D0"/>
    <w:rsid w:val="008C3639"/>
    <w:rsid w:val="008C3CD8"/>
    <w:rsid w:val="008C5A12"/>
    <w:rsid w:val="008C6986"/>
    <w:rsid w:val="008D6566"/>
    <w:rsid w:val="008D7476"/>
    <w:rsid w:val="008E0417"/>
    <w:rsid w:val="008E4DF0"/>
    <w:rsid w:val="008E5B89"/>
    <w:rsid w:val="008F004A"/>
    <w:rsid w:val="008F3FB2"/>
    <w:rsid w:val="009056A1"/>
    <w:rsid w:val="009150FF"/>
    <w:rsid w:val="0092548E"/>
    <w:rsid w:val="00926089"/>
    <w:rsid w:val="0092629D"/>
    <w:rsid w:val="00932D51"/>
    <w:rsid w:val="009339A8"/>
    <w:rsid w:val="00933ACE"/>
    <w:rsid w:val="00933B37"/>
    <w:rsid w:val="00933B46"/>
    <w:rsid w:val="00937CF9"/>
    <w:rsid w:val="00940F15"/>
    <w:rsid w:val="0094273F"/>
    <w:rsid w:val="00944E44"/>
    <w:rsid w:val="009529AB"/>
    <w:rsid w:val="009558F6"/>
    <w:rsid w:val="00956B15"/>
    <w:rsid w:val="00961D29"/>
    <w:rsid w:val="00963DE1"/>
    <w:rsid w:val="00964129"/>
    <w:rsid w:val="0096461B"/>
    <w:rsid w:val="00970014"/>
    <w:rsid w:val="00974DD1"/>
    <w:rsid w:val="00981D5A"/>
    <w:rsid w:val="0098213E"/>
    <w:rsid w:val="009911AE"/>
    <w:rsid w:val="009924E2"/>
    <w:rsid w:val="009A19AA"/>
    <w:rsid w:val="009A69BE"/>
    <w:rsid w:val="009B19D1"/>
    <w:rsid w:val="009B3C69"/>
    <w:rsid w:val="009B5375"/>
    <w:rsid w:val="009B6761"/>
    <w:rsid w:val="009B79C6"/>
    <w:rsid w:val="009B7C3E"/>
    <w:rsid w:val="009B7D93"/>
    <w:rsid w:val="009C453C"/>
    <w:rsid w:val="009C61A1"/>
    <w:rsid w:val="009D2145"/>
    <w:rsid w:val="009D3EDC"/>
    <w:rsid w:val="009D4435"/>
    <w:rsid w:val="009E13D0"/>
    <w:rsid w:val="009E2008"/>
    <w:rsid w:val="009E3462"/>
    <w:rsid w:val="009E424A"/>
    <w:rsid w:val="009E677B"/>
    <w:rsid w:val="009F1012"/>
    <w:rsid w:val="009F2FAC"/>
    <w:rsid w:val="009F481D"/>
    <w:rsid w:val="009F6791"/>
    <w:rsid w:val="009F7F7F"/>
    <w:rsid w:val="00A019A7"/>
    <w:rsid w:val="00A1324A"/>
    <w:rsid w:val="00A13261"/>
    <w:rsid w:val="00A134C9"/>
    <w:rsid w:val="00A1667F"/>
    <w:rsid w:val="00A22D8D"/>
    <w:rsid w:val="00A232FA"/>
    <w:rsid w:val="00A31948"/>
    <w:rsid w:val="00A35DFC"/>
    <w:rsid w:val="00A360BF"/>
    <w:rsid w:val="00A36AD9"/>
    <w:rsid w:val="00A460ED"/>
    <w:rsid w:val="00A466F8"/>
    <w:rsid w:val="00A50635"/>
    <w:rsid w:val="00A53115"/>
    <w:rsid w:val="00A54312"/>
    <w:rsid w:val="00A54FB2"/>
    <w:rsid w:val="00A57B36"/>
    <w:rsid w:val="00A60B96"/>
    <w:rsid w:val="00A6135C"/>
    <w:rsid w:val="00A627A8"/>
    <w:rsid w:val="00A655FD"/>
    <w:rsid w:val="00A66FE8"/>
    <w:rsid w:val="00A70557"/>
    <w:rsid w:val="00A738F6"/>
    <w:rsid w:val="00A803D5"/>
    <w:rsid w:val="00A80DE3"/>
    <w:rsid w:val="00A83933"/>
    <w:rsid w:val="00A85F10"/>
    <w:rsid w:val="00A92E51"/>
    <w:rsid w:val="00A94BE1"/>
    <w:rsid w:val="00A96FC5"/>
    <w:rsid w:val="00AA0E44"/>
    <w:rsid w:val="00AA462E"/>
    <w:rsid w:val="00AB14B7"/>
    <w:rsid w:val="00AB269F"/>
    <w:rsid w:val="00AB6083"/>
    <w:rsid w:val="00AB728A"/>
    <w:rsid w:val="00AC18A6"/>
    <w:rsid w:val="00AC1B8F"/>
    <w:rsid w:val="00AC324D"/>
    <w:rsid w:val="00AD1058"/>
    <w:rsid w:val="00AD1FA4"/>
    <w:rsid w:val="00AD2D81"/>
    <w:rsid w:val="00AD4553"/>
    <w:rsid w:val="00AD4F4A"/>
    <w:rsid w:val="00AD655B"/>
    <w:rsid w:val="00AD66A7"/>
    <w:rsid w:val="00AD77C2"/>
    <w:rsid w:val="00AD7C8E"/>
    <w:rsid w:val="00AE003F"/>
    <w:rsid w:val="00AE418F"/>
    <w:rsid w:val="00AF4536"/>
    <w:rsid w:val="00AF5BD9"/>
    <w:rsid w:val="00AF60D6"/>
    <w:rsid w:val="00AF7B46"/>
    <w:rsid w:val="00B004A0"/>
    <w:rsid w:val="00B0212E"/>
    <w:rsid w:val="00B021AD"/>
    <w:rsid w:val="00B03552"/>
    <w:rsid w:val="00B03BAC"/>
    <w:rsid w:val="00B06D31"/>
    <w:rsid w:val="00B0769B"/>
    <w:rsid w:val="00B078D8"/>
    <w:rsid w:val="00B11E50"/>
    <w:rsid w:val="00B15387"/>
    <w:rsid w:val="00B155D3"/>
    <w:rsid w:val="00B15664"/>
    <w:rsid w:val="00B247F8"/>
    <w:rsid w:val="00B269F0"/>
    <w:rsid w:val="00B309A0"/>
    <w:rsid w:val="00B33FA5"/>
    <w:rsid w:val="00B36251"/>
    <w:rsid w:val="00B442EC"/>
    <w:rsid w:val="00B50EA6"/>
    <w:rsid w:val="00B517DE"/>
    <w:rsid w:val="00B54260"/>
    <w:rsid w:val="00B57705"/>
    <w:rsid w:val="00B60E47"/>
    <w:rsid w:val="00B674B4"/>
    <w:rsid w:val="00B6766D"/>
    <w:rsid w:val="00B7004C"/>
    <w:rsid w:val="00B70508"/>
    <w:rsid w:val="00B70BDE"/>
    <w:rsid w:val="00B712C0"/>
    <w:rsid w:val="00B7267E"/>
    <w:rsid w:val="00B74382"/>
    <w:rsid w:val="00B74D6A"/>
    <w:rsid w:val="00B80794"/>
    <w:rsid w:val="00B825B6"/>
    <w:rsid w:val="00B83EA0"/>
    <w:rsid w:val="00B85EFE"/>
    <w:rsid w:val="00B87220"/>
    <w:rsid w:val="00B90094"/>
    <w:rsid w:val="00B90A21"/>
    <w:rsid w:val="00B9170A"/>
    <w:rsid w:val="00B917A0"/>
    <w:rsid w:val="00B94F71"/>
    <w:rsid w:val="00BA185D"/>
    <w:rsid w:val="00BA1CA2"/>
    <w:rsid w:val="00BA2C1F"/>
    <w:rsid w:val="00BA2C76"/>
    <w:rsid w:val="00BA5C6C"/>
    <w:rsid w:val="00BA6285"/>
    <w:rsid w:val="00BA6376"/>
    <w:rsid w:val="00BC092F"/>
    <w:rsid w:val="00BC39DE"/>
    <w:rsid w:val="00BC412E"/>
    <w:rsid w:val="00BE12EE"/>
    <w:rsid w:val="00BE1749"/>
    <w:rsid w:val="00BE4449"/>
    <w:rsid w:val="00BE57AA"/>
    <w:rsid w:val="00BE5E13"/>
    <w:rsid w:val="00BF376A"/>
    <w:rsid w:val="00BF5F69"/>
    <w:rsid w:val="00BF7986"/>
    <w:rsid w:val="00C01D1A"/>
    <w:rsid w:val="00C04887"/>
    <w:rsid w:val="00C0576E"/>
    <w:rsid w:val="00C059A4"/>
    <w:rsid w:val="00C060D0"/>
    <w:rsid w:val="00C0697E"/>
    <w:rsid w:val="00C07DDE"/>
    <w:rsid w:val="00C11502"/>
    <w:rsid w:val="00C11538"/>
    <w:rsid w:val="00C21640"/>
    <w:rsid w:val="00C25B6F"/>
    <w:rsid w:val="00C26C0D"/>
    <w:rsid w:val="00C32F53"/>
    <w:rsid w:val="00C3770F"/>
    <w:rsid w:val="00C45DC5"/>
    <w:rsid w:val="00C540D0"/>
    <w:rsid w:val="00C5633C"/>
    <w:rsid w:val="00C5633F"/>
    <w:rsid w:val="00C6420D"/>
    <w:rsid w:val="00C654A0"/>
    <w:rsid w:val="00C675C4"/>
    <w:rsid w:val="00C702EC"/>
    <w:rsid w:val="00C728B0"/>
    <w:rsid w:val="00C86041"/>
    <w:rsid w:val="00C860F1"/>
    <w:rsid w:val="00C86A20"/>
    <w:rsid w:val="00C901C0"/>
    <w:rsid w:val="00C94F64"/>
    <w:rsid w:val="00C960A5"/>
    <w:rsid w:val="00CA1DF2"/>
    <w:rsid w:val="00CA29E4"/>
    <w:rsid w:val="00CA485A"/>
    <w:rsid w:val="00CA68D5"/>
    <w:rsid w:val="00CA6D5F"/>
    <w:rsid w:val="00CA7ADF"/>
    <w:rsid w:val="00CA7CC4"/>
    <w:rsid w:val="00CB170D"/>
    <w:rsid w:val="00CB2C8A"/>
    <w:rsid w:val="00CB4BD6"/>
    <w:rsid w:val="00CB4F3B"/>
    <w:rsid w:val="00CB70A2"/>
    <w:rsid w:val="00CC5743"/>
    <w:rsid w:val="00CD5233"/>
    <w:rsid w:val="00CD57F6"/>
    <w:rsid w:val="00CD67FF"/>
    <w:rsid w:val="00CE700F"/>
    <w:rsid w:val="00D01480"/>
    <w:rsid w:val="00D02C05"/>
    <w:rsid w:val="00D110B6"/>
    <w:rsid w:val="00D15F20"/>
    <w:rsid w:val="00D2099A"/>
    <w:rsid w:val="00D21456"/>
    <w:rsid w:val="00D21D64"/>
    <w:rsid w:val="00D223BB"/>
    <w:rsid w:val="00D22FFE"/>
    <w:rsid w:val="00D23C8A"/>
    <w:rsid w:val="00D24085"/>
    <w:rsid w:val="00D25904"/>
    <w:rsid w:val="00D25B43"/>
    <w:rsid w:val="00D27F55"/>
    <w:rsid w:val="00D403D7"/>
    <w:rsid w:val="00D463AA"/>
    <w:rsid w:val="00D476C4"/>
    <w:rsid w:val="00D508BD"/>
    <w:rsid w:val="00D54272"/>
    <w:rsid w:val="00D5436F"/>
    <w:rsid w:val="00D5438A"/>
    <w:rsid w:val="00D55B68"/>
    <w:rsid w:val="00D55C67"/>
    <w:rsid w:val="00D609C8"/>
    <w:rsid w:val="00D62F6B"/>
    <w:rsid w:val="00D6583C"/>
    <w:rsid w:val="00D7644C"/>
    <w:rsid w:val="00D76B55"/>
    <w:rsid w:val="00D81B2B"/>
    <w:rsid w:val="00D86310"/>
    <w:rsid w:val="00D900BD"/>
    <w:rsid w:val="00DA02D2"/>
    <w:rsid w:val="00DA12A4"/>
    <w:rsid w:val="00DA264A"/>
    <w:rsid w:val="00DA39DB"/>
    <w:rsid w:val="00DA6F77"/>
    <w:rsid w:val="00DA6FF8"/>
    <w:rsid w:val="00DB0259"/>
    <w:rsid w:val="00DB0732"/>
    <w:rsid w:val="00DB6052"/>
    <w:rsid w:val="00DB71F2"/>
    <w:rsid w:val="00DC3AF5"/>
    <w:rsid w:val="00DC6F70"/>
    <w:rsid w:val="00DD1BDB"/>
    <w:rsid w:val="00DD4A96"/>
    <w:rsid w:val="00DE60D6"/>
    <w:rsid w:val="00DE772A"/>
    <w:rsid w:val="00DF581C"/>
    <w:rsid w:val="00DF70F2"/>
    <w:rsid w:val="00E02A81"/>
    <w:rsid w:val="00E03C64"/>
    <w:rsid w:val="00E05627"/>
    <w:rsid w:val="00E10AD9"/>
    <w:rsid w:val="00E12F8C"/>
    <w:rsid w:val="00E13C75"/>
    <w:rsid w:val="00E14A1E"/>
    <w:rsid w:val="00E156C4"/>
    <w:rsid w:val="00E16EFC"/>
    <w:rsid w:val="00E237BA"/>
    <w:rsid w:val="00E34076"/>
    <w:rsid w:val="00E34962"/>
    <w:rsid w:val="00E36769"/>
    <w:rsid w:val="00E40547"/>
    <w:rsid w:val="00E42972"/>
    <w:rsid w:val="00E55222"/>
    <w:rsid w:val="00E57FC1"/>
    <w:rsid w:val="00E61B64"/>
    <w:rsid w:val="00E64A93"/>
    <w:rsid w:val="00E7232E"/>
    <w:rsid w:val="00E772A4"/>
    <w:rsid w:val="00E817BB"/>
    <w:rsid w:val="00E83801"/>
    <w:rsid w:val="00E900FC"/>
    <w:rsid w:val="00E92ABD"/>
    <w:rsid w:val="00E967FC"/>
    <w:rsid w:val="00E97B13"/>
    <w:rsid w:val="00EA3280"/>
    <w:rsid w:val="00EA5AE2"/>
    <w:rsid w:val="00EA60E8"/>
    <w:rsid w:val="00EB0FE2"/>
    <w:rsid w:val="00EB47AD"/>
    <w:rsid w:val="00EB56BA"/>
    <w:rsid w:val="00EC0DB5"/>
    <w:rsid w:val="00EC387B"/>
    <w:rsid w:val="00EC7495"/>
    <w:rsid w:val="00ED29C5"/>
    <w:rsid w:val="00ED623D"/>
    <w:rsid w:val="00EE2337"/>
    <w:rsid w:val="00EE3FCD"/>
    <w:rsid w:val="00F02B1F"/>
    <w:rsid w:val="00F02CF8"/>
    <w:rsid w:val="00F05564"/>
    <w:rsid w:val="00F10B96"/>
    <w:rsid w:val="00F10F24"/>
    <w:rsid w:val="00F1396F"/>
    <w:rsid w:val="00F164E9"/>
    <w:rsid w:val="00F23288"/>
    <w:rsid w:val="00F232DA"/>
    <w:rsid w:val="00F273C6"/>
    <w:rsid w:val="00F34D49"/>
    <w:rsid w:val="00F35421"/>
    <w:rsid w:val="00F36A18"/>
    <w:rsid w:val="00F36C2D"/>
    <w:rsid w:val="00F36F2E"/>
    <w:rsid w:val="00F40DF2"/>
    <w:rsid w:val="00F4190A"/>
    <w:rsid w:val="00F4450D"/>
    <w:rsid w:val="00F4672E"/>
    <w:rsid w:val="00F47143"/>
    <w:rsid w:val="00F5054A"/>
    <w:rsid w:val="00F6250F"/>
    <w:rsid w:val="00F6422E"/>
    <w:rsid w:val="00F64D01"/>
    <w:rsid w:val="00F65177"/>
    <w:rsid w:val="00F83F3E"/>
    <w:rsid w:val="00F90760"/>
    <w:rsid w:val="00F94CA3"/>
    <w:rsid w:val="00F94F16"/>
    <w:rsid w:val="00F95B34"/>
    <w:rsid w:val="00FA0460"/>
    <w:rsid w:val="00FA3755"/>
    <w:rsid w:val="00FA51F6"/>
    <w:rsid w:val="00FA741A"/>
    <w:rsid w:val="00FB0D23"/>
    <w:rsid w:val="00FB199C"/>
    <w:rsid w:val="00FB1B60"/>
    <w:rsid w:val="00FB4034"/>
    <w:rsid w:val="00FC38AD"/>
    <w:rsid w:val="00FC42B9"/>
    <w:rsid w:val="00FC5A7F"/>
    <w:rsid w:val="00FC6B42"/>
    <w:rsid w:val="00FC6D4F"/>
    <w:rsid w:val="00FC6D62"/>
    <w:rsid w:val="00FD16F9"/>
    <w:rsid w:val="00FD1B5D"/>
    <w:rsid w:val="00FD7583"/>
    <w:rsid w:val="00FE0B2C"/>
    <w:rsid w:val="00FE143B"/>
    <w:rsid w:val="00FF4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6EB043"/>
  <w15:docId w15:val="{EFFB7BF7-1D3E-414B-B213-3226A8FA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before="20" w:after="20"/>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lsdException w:name="heading 6" w:semiHidden="1" w:uiPriority="4" w:unhideWhenUsed="1"/>
    <w:lsdException w:name="heading 7" w:semiHidden="1" w:uiPriority="4"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 w:unhideWhenUsed="1"/>
    <w:lsdException w:name="toc 3" w:semiHidden="1" w:uiPriority="3" w:unhideWhenUsed="1"/>
    <w:lsdException w:name="toc 4" w:semiHidden="1" w:uiPriority="3"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4" w:unhideWhenUsed="1"/>
    <w:lsdException w:name="footer" w:semiHidden="1" w:uiPriority="0" w:unhideWhenUsed="1"/>
    <w:lsdException w:name="index heading" w:semiHidden="1" w:unhideWhenUsed="1"/>
    <w:lsdException w:name="caption" w:semiHidden="1" w:uiPriority="4"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BA6285"/>
    <w:pPr>
      <w:spacing w:after="0" w:line="280" w:lineRule="atLeast"/>
      <w:jc w:val="both"/>
    </w:pPr>
    <w:rPr>
      <w:rFonts w:ascii="Arial" w:hAnsi="Arial" w:cs="Arial"/>
      <w:iCs/>
      <w:color w:val="3FA6CC" w:themeColor="text1"/>
    </w:rPr>
  </w:style>
  <w:style w:type="paragraph" w:styleId="Heading1">
    <w:name w:val="heading 1"/>
    <w:next w:val="BodyTextGrey"/>
    <w:link w:val="Heading1Char"/>
    <w:qFormat/>
    <w:rsid w:val="00C059A4"/>
    <w:pPr>
      <w:keepNext/>
      <w:keepLines/>
      <w:spacing w:before="140" w:after="140" w:line="360" w:lineRule="atLeast"/>
      <w:outlineLvl w:val="0"/>
    </w:pPr>
    <w:rPr>
      <w:rFonts w:ascii="Arial" w:hAnsi="Arial"/>
      <w:color w:val="3FA6CC"/>
      <w:kern w:val="28"/>
      <w:sz w:val="36"/>
      <w:lang w:eastAsia="en-US"/>
    </w:rPr>
  </w:style>
  <w:style w:type="paragraph" w:styleId="Heading2">
    <w:name w:val="heading 2"/>
    <w:next w:val="BodyTextGrey"/>
    <w:link w:val="Heading2Char"/>
    <w:qFormat/>
    <w:rsid w:val="00C059A4"/>
    <w:pPr>
      <w:keepNext/>
      <w:keepLines/>
      <w:spacing w:before="0" w:after="0" w:line="280" w:lineRule="atLeast"/>
      <w:outlineLvl w:val="1"/>
    </w:pPr>
    <w:rPr>
      <w:rFonts w:ascii="Arial" w:hAnsi="Arial" w:cs="Arial"/>
      <w:b/>
      <w:iCs/>
      <w:color w:val="F06A00" w:themeColor="accent1"/>
      <w:lang w:eastAsia="en-US"/>
    </w:rPr>
  </w:style>
  <w:style w:type="paragraph" w:styleId="Heading3">
    <w:name w:val="heading 3"/>
    <w:next w:val="BodyTextGrey"/>
    <w:link w:val="Heading3Char"/>
    <w:qFormat/>
    <w:rsid w:val="00C059A4"/>
    <w:pPr>
      <w:keepNext/>
      <w:keepLines/>
      <w:spacing w:line="280" w:lineRule="atLeast"/>
      <w:outlineLvl w:val="2"/>
    </w:pPr>
    <w:rPr>
      <w:rFonts w:ascii="Arial" w:hAnsi="Arial" w:cs="Arial"/>
      <w:b/>
      <w:iCs/>
      <w:color w:val="3FA6CC" w:themeColor="text1"/>
      <w:lang w:eastAsia="en-US"/>
    </w:rPr>
  </w:style>
  <w:style w:type="paragraph" w:styleId="Heading4">
    <w:name w:val="heading 4"/>
    <w:next w:val="BodyTextGrey"/>
    <w:link w:val="Heading4Char"/>
    <w:qFormat/>
    <w:rsid w:val="00C059A4"/>
    <w:pPr>
      <w:tabs>
        <w:tab w:val="num" w:pos="0"/>
      </w:tabs>
      <w:spacing w:line="280" w:lineRule="atLeast"/>
      <w:outlineLvl w:val="3"/>
    </w:pPr>
    <w:rPr>
      <w:rFonts w:ascii="Arial" w:hAnsi="Arial" w:cs="Arial"/>
      <w:b/>
      <w:iCs/>
      <w:color w:val="4B4B4B" w:themeColor="accent2"/>
      <w:lang w:eastAsia="en-US"/>
    </w:rPr>
  </w:style>
  <w:style w:type="paragraph" w:styleId="Heading5">
    <w:name w:val="heading 5"/>
    <w:aliases w:val="Briefing note heading"/>
    <w:next w:val="Normal"/>
    <w:link w:val="Heading5Char"/>
    <w:uiPriority w:val="4"/>
    <w:unhideWhenUsed/>
    <w:rsid w:val="0098213E"/>
    <w:pPr>
      <w:spacing w:before="240" w:after="60"/>
      <w:jc w:val="both"/>
      <w:outlineLvl w:val="4"/>
    </w:pPr>
    <w:rPr>
      <w:rFonts w:ascii="Arial" w:hAnsi="Arial" w:cs="Tahoma"/>
      <w:color w:val="40A6CC"/>
      <w:spacing w:val="20"/>
      <w:szCs w:val="146"/>
    </w:rPr>
  </w:style>
  <w:style w:type="paragraph" w:styleId="Heading6">
    <w:name w:val="heading 6"/>
    <w:basedOn w:val="Normal"/>
    <w:next w:val="Normal"/>
    <w:link w:val="Heading6Char"/>
    <w:uiPriority w:val="4"/>
    <w:unhideWhenUsed/>
    <w:rsid w:val="0098213E"/>
    <w:pPr>
      <w:tabs>
        <w:tab w:val="num" w:pos="0"/>
      </w:tabs>
      <w:spacing w:before="240" w:after="60"/>
      <w:outlineLvl w:val="5"/>
    </w:pPr>
    <w:rPr>
      <w:i/>
    </w:rPr>
  </w:style>
  <w:style w:type="paragraph" w:styleId="Heading7">
    <w:name w:val="heading 7"/>
    <w:basedOn w:val="Normal"/>
    <w:next w:val="Normal"/>
    <w:link w:val="Heading7Char"/>
    <w:uiPriority w:val="4"/>
    <w:semiHidden/>
    <w:unhideWhenUsed/>
    <w:rsid w:val="0098213E"/>
    <w:pPr>
      <w:tabs>
        <w:tab w:val="num" w:pos="0"/>
      </w:tabs>
      <w:spacing w:before="240" w:after="60"/>
      <w:outlineLvl w:val="6"/>
    </w:pPr>
    <w:rPr>
      <w:sz w:val="24"/>
    </w:rPr>
  </w:style>
  <w:style w:type="paragraph" w:styleId="Heading8">
    <w:name w:val="heading 8"/>
    <w:basedOn w:val="Normal"/>
    <w:link w:val="Heading8Char"/>
    <w:semiHidden/>
    <w:unhideWhenUsed/>
    <w:rsid w:val="0098213E"/>
    <w:pPr>
      <w:tabs>
        <w:tab w:val="num" w:pos="0"/>
      </w:tabs>
      <w:spacing w:after="240"/>
      <w:ind w:left="720" w:hanging="720"/>
      <w:outlineLvl w:val="7"/>
    </w:pPr>
    <w:rPr>
      <w:b/>
    </w:rPr>
  </w:style>
  <w:style w:type="paragraph" w:styleId="Heading9">
    <w:name w:val="heading 9"/>
    <w:basedOn w:val="Normal"/>
    <w:link w:val="Heading9Char"/>
    <w:semiHidden/>
    <w:unhideWhenUsed/>
    <w:rsid w:val="0098213E"/>
    <w:pPr>
      <w:tabs>
        <w:tab w:val="num" w:pos="0"/>
      </w:tabs>
      <w:spacing w:before="240" w:after="60"/>
      <w:ind w:left="3600" w:hanging="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Heading1"/>
    <w:next w:val="BodyTextGrey"/>
    <w:uiPriority w:val="3"/>
    <w:qFormat/>
    <w:rsid w:val="00C059A4"/>
    <w:pPr>
      <w:pageBreakBefore/>
    </w:pPr>
  </w:style>
  <w:style w:type="character" w:customStyle="1" w:styleId="Heading1Char">
    <w:name w:val="Heading 1 Char"/>
    <w:basedOn w:val="DefaultParagraphFont"/>
    <w:link w:val="Heading1"/>
    <w:rsid w:val="0098213E"/>
    <w:rPr>
      <w:rFonts w:ascii="Arial" w:hAnsi="Arial"/>
      <w:color w:val="3FA6CC"/>
      <w:kern w:val="28"/>
      <w:sz w:val="36"/>
      <w:lang w:eastAsia="en-US"/>
    </w:rPr>
  </w:style>
  <w:style w:type="paragraph" w:customStyle="1" w:styleId="Appendix2">
    <w:name w:val="Appendix 2"/>
    <w:basedOn w:val="Heading2"/>
    <w:next w:val="BodyTextGrey"/>
    <w:uiPriority w:val="3"/>
    <w:qFormat/>
    <w:rsid w:val="00C059A4"/>
    <w:rPr>
      <w:szCs w:val="22"/>
    </w:rPr>
  </w:style>
  <w:style w:type="character" w:customStyle="1" w:styleId="Heading2Char">
    <w:name w:val="Heading 2 Char"/>
    <w:basedOn w:val="DefaultParagraphFont"/>
    <w:link w:val="Heading2"/>
    <w:rsid w:val="0000606C"/>
    <w:rPr>
      <w:rFonts w:ascii="Arial" w:hAnsi="Arial" w:cs="Arial"/>
      <w:b/>
      <w:iCs/>
      <w:color w:val="F06A00" w:themeColor="accent1"/>
      <w:lang w:eastAsia="en-US"/>
    </w:rPr>
  </w:style>
  <w:style w:type="paragraph" w:customStyle="1" w:styleId="Appendix3">
    <w:name w:val="Appendix 3"/>
    <w:basedOn w:val="Heading3"/>
    <w:next w:val="BodyTextGrey"/>
    <w:uiPriority w:val="3"/>
    <w:qFormat/>
    <w:rsid w:val="00C059A4"/>
  </w:style>
  <w:style w:type="character" w:customStyle="1" w:styleId="Heading3Char">
    <w:name w:val="Heading 3 Char"/>
    <w:basedOn w:val="DefaultParagraphFont"/>
    <w:link w:val="Heading3"/>
    <w:rsid w:val="00E42972"/>
    <w:rPr>
      <w:rFonts w:ascii="Arial" w:hAnsi="Arial" w:cs="Arial"/>
      <w:b/>
      <w:iCs/>
      <w:color w:val="3FA6CC" w:themeColor="text1"/>
      <w:lang w:eastAsia="en-US"/>
    </w:rPr>
  </w:style>
  <w:style w:type="paragraph" w:customStyle="1" w:styleId="FooterText">
    <w:name w:val="Footer Text"/>
    <w:basedOn w:val="Normal"/>
    <w:uiPriority w:val="4"/>
    <w:rsid w:val="008C1648"/>
    <w:pPr>
      <w:keepLines/>
      <w:pBdr>
        <w:top w:val="single" w:sz="2" w:space="4" w:color="646464"/>
      </w:pBdr>
      <w:ind w:left="-425"/>
      <w:jc w:val="left"/>
    </w:pPr>
    <w:rPr>
      <w:color w:val="4B4B4B"/>
    </w:rPr>
  </w:style>
  <w:style w:type="paragraph" w:customStyle="1" w:styleId="FreedomHeading">
    <w:name w:val="Freedom Heading"/>
    <w:basedOn w:val="Heading1"/>
    <w:next w:val="Normal"/>
    <w:uiPriority w:val="4"/>
    <w:rsid w:val="0098213E"/>
    <w:rPr>
      <w:caps/>
      <w:color w:val="40A6CC"/>
    </w:rPr>
  </w:style>
  <w:style w:type="paragraph" w:customStyle="1" w:styleId="hBullet1">
    <w:name w:val="hBullet1"/>
    <w:basedOn w:val="Normal"/>
    <w:uiPriority w:val="3"/>
    <w:rsid w:val="008C1648"/>
    <w:pPr>
      <w:widowControl w:val="0"/>
      <w:numPr>
        <w:numId w:val="3"/>
      </w:numPr>
      <w:spacing w:before="120" w:after="120"/>
      <w:jc w:val="left"/>
    </w:pPr>
    <w:rPr>
      <w:rFonts w:cs="Times New Roman"/>
      <w:iCs w:val="0"/>
      <w:color w:val="auto"/>
      <w:szCs w:val="24"/>
    </w:rPr>
  </w:style>
  <w:style w:type="paragraph" w:customStyle="1" w:styleId="hBullet2">
    <w:name w:val="hBullet2"/>
    <w:basedOn w:val="Normal"/>
    <w:uiPriority w:val="3"/>
    <w:rsid w:val="008C1648"/>
    <w:pPr>
      <w:widowControl w:val="0"/>
      <w:numPr>
        <w:numId w:val="4"/>
      </w:numPr>
      <w:spacing w:before="120" w:after="120"/>
      <w:jc w:val="left"/>
    </w:pPr>
    <w:rPr>
      <w:rFonts w:cs="Times New Roman"/>
      <w:iCs w:val="0"/>
      <w:color w:val="auto"/>
      <w:szCs w:val="24"/>
    </w:rPr>
  </w:style>
  <w:style w:type="paragraph" w:customStyle="1" w:styleId="hBullet3">
    <w:name w:val="hBullet3"/>
    <w:basedOn w:val="Normal"/>
    <w:uiPriority w:val="3"/>
    <w:rsid w:val="008C1648"/>
    <w:pPr>
      <w:widowControl w:val="0"/>
      <w:numPr>
        <w:numId w:val="5"/>
      </w:numPr>
      <w:spacing w:before="120" w:after="120"/>
      <w:jc w:val="left"/>
    </w:pPr>
    <w:rPr>
      <w:rFonts w:cs="Times New Roman"/>
      <w:iCs w:val="0"/>
      <w:color w:val="auto"/>
      <w:szCs w:val="24"/>
    </w:rPr>
  </w:style>
  <w:style w:type="paragraph" w:customStyle="1" w:styleId="hBullets">
    <w:name w:val="hBullets"/>
    <w:uiPriority w:val="3"/>
    <w:rsid w:val="0098213E"/>
    <w:pPr>
      <w:numPr>
        <w:numId w:val="6"/>
      </w:numPr>
      <w:spacing w:line="280" w:lineRule="atLeast"/>
    </w:pPr>
    <w:rPr>
      <w:rFonts w:ascii="Arial" w:hAnsi="Arial"/>
      <w:color w:val="4B4B4B"/>
      <w:szCs w:val="24"/>
    </w:rPr>
  </w:style>
  <w:style w:type="paragraph" w:customStyle="1" w:styleId="Heading1Num">
    <w:name w:val="Heading 1 Num"/>
    <w:basedOn w:val="Heading1"/>
    <w:next w:val="BodyTextGrey"/>
    <w:uiPriority w:val="1"/>
    <w:qFormat/>
    <w:rsid w:val="00C059A4"/>
    <w:pPr>
      <w:numPr>
        <w:numId w:val="9"/>
      </w:numPr>
    </w:pPr>
  </w:style>
  <w:style w:type="paragraph" w:customStyle="1" w:styleId="Heading2Num">
    <w:name w:val="Heading 2 Num"/>
    <w:basedOn w:val="Heading2"/>
    <w:next w:val="BodyTextGrey"/>
    <w:link w:val="Heading2NumChar"/>
    <w:uiPriority w:val="1"/>
    <w:qFormat/>
    <w:rsid w:val="00C059A4"/>
    <w:pPr>
      <w:numPr>
        <w:ilvl w:val="1"/>
        <w:numId w:val="9"/>
      </w:numPr>
    </w:pPr>
  </w:style>
  <w:style w:type="paragraph" w:customStyle="1" w:styleId="Heading3Num">
    <w:name w:val="Heading 3 Num"/>
    <w:basedOn w:val="Heading3"/>
    <w:next w:val="BodyTextGrey"/>
    <w:uiPriority w:val="1"/>
    <w:qFormat/>
    <w:rsid w:val="00C059A4"/>
    <w:pPr>
      <w:numPr>
        <w:ilvl w:val="2"/>
        <w:numId w:val="9"/>
      </w:numPr>
    </w:pPr>
  </w:style>
  <w:style w:type="paragraph" w:customStyle="1" w:styleId="hNumber1">
    <w:name w:val="hNumber1"/>
    <w:rsid w:val="0098213E"/>
    <w:pPr>
      <w:widowControl w:val="0"/>
      <w:numPr>
        <w:numId w:val="7"/>
      </w:numPr>
      <w:spacing w:line="280" w:lineRule="atLeast"/>
    </w:pPr>
    <w:rPr>
      <w:rFonts w:ascii="Arial" w:hAnsi="Arial"/>
      <w:color w:val="4B4B4B"/>
      <w:szCs w:val="24"/>
    </w:rPr>
  </w:style>
  <w:style w:type="numbering" w:customStyle="1" w:styleId="HRNumber">
    <w:name w:val="HR Number"/>
    <w:uiPriority w:val="99"/>
    <w:rsid w:val="0092629D"/>
    <w:pPr>
      <w:numPr>
        <w:numId w:val="1"/>
      </w:numPr>
    </w:pPr>
  </w:style>
  <w:style w:type="paragraph" w:customStyle="1" w:styleId="HymanHeader">
    <w:name w:val="HymanHeader"/>
    <w:basedOn w:val="Normal"/>
    <w:uiPriority w:val="3"/>
    <w:rsid w:val="008C1648"/>
    <w:pPr>
      <w:pBdr>
        <w:top w:val="single" w:sz="2" w:space="4" w:color="646464"/>
      </w:pBdr>
      <w:spacing w:after="200"/>
      <w:ind w:left="-425"/>
      <w:jc w:val="left"/>
    </w:pPr>
    <w:rPr>
      <w:color w:val="4B4B4B"/>
      <w:lang w:val="fr-FR"/>
    </w:rPr>
  </w:style>
  <w:style w:type="paragraph" w:customStyle="1" w:styleId="LetterDate">
    <w:name w:val="Letter Date"/>
    <w:basedOn w:val="Normal"/>
    <w:uiPriority w:val="3"/>
    <w:rsid w:val="008C1648"/>
    <w:pPr>
      <w:spacing w:before="480" w:after="480"/>
      <w:jc w:val="left"/>
    </w:pPr>
    <w:rPr>
      <w:rFonts w:cs="Times New Roman"/>
      <w:color w:val="646464"/>
      <w:szCs w:val="28"/>
    </w:rPr>
  </w:style>
  <w:style w:type="paragraph" w:customStyle="1" w:styleId="ListBullet-Hymans">
    <w:name w:val="List Bullet - Hymans"/>
    <w:basedOn w:val="Normal"/>
    <w:uiPriority w:val="3"/>
    <w:rsid w:val="0098213E"/>
    <w:pPr>
      <w:tabs>
        <w:tab w:val="num" w:pos="360"/>
      </w:tabs>
      <w:ind w:left="360" w:hanging="360"/>
    </w:pPr>
  </w:style>
  <w:style w:type="paragraph" w:customStyle="1" w:styleId="NormalLeft">
    <w:name w:val="Normal Left"/>
    <w:basedOn w:val="Normal"/>
    <w:uiPriority w:val="3"/>
    <w:rsid w:val="0098213E"/>
    <w:pPr>
      <w:ind w:left="-400"/>
    </w:pPr>
    <w:rPr>
      <w:rFonts w:cs="Times New Roman"/>
    </w:rPr>
  </w:style>
  <w:style w:type="paragraph" w:customStyle="1" w:styleId="Signatory">
    <w:name w:val="Signatory"/>
    <w:basedOn w:val="Normal"/>
    <w:uiPriority w:val="3"/>
    <w:rsid w:val="008C1648"/>
    <w:pPr>
      <w:spacing w:after="200"/>
      <w:jc w:val="left"/>
    </w:pPr>
    <w:rPr>
      <w:color w:val="auto"/>
      <w:sz w:val="16"/>
    </w:rPr>
  </w:style>
  <w:style w:type="paragraph" w:customStyle="1" w:styleId="StyleLeft45cm">
    <w:name w:val="Style Left:  4.5 cm"/>
    <w:basedOn w:val="Normal"/>
    <w:uiPriority w:val="3"/>
    <w:rsid w:val="0098213E"/>
    <w:pPr>
      <w:ind w:left="2552"/>
    </w:pPr>
    <w:rPr>
      <w:rFonts w:cs="Times New Roman"/>
    </w:rPr>
  </w:style>
  <w:style w:type="paragraph" w:customStyle="1" w:styleId="StyleTenderVerticalSmallLeftBefore1ptAfter1pt">
    <w:name w:val="Style Tender Vertical Small + Left Before:  1 pt After:  1 pt"/>
    <w:basedOn w:val="TenderVerticalSmall"/>
    <w:uiPriority w:val="3"/>
    <w:rsid w:val="0098213E"/>
    <w:pPr>
      <w:spacing w:after="20"/>
      <w:jc w:val="left"/>
    </w:pPr>
    <w:rPr>
      <w:rFonts w:cs="Times New Roman"/>
      <w:iCs w:val="0"/>
      <w:szCs w:val="20"/>
    </w:rPr>
  </w:style>
  <w:style w:type="paragraph" w:customStyle="1" w:styleId="TableColumn1">
    <w:name w:val="Table Column1"/>
    <w:basedOn w:val="TableHeader"/>
    <w:autoRedefine/>
    <w:uiPriority w:val="3"/>
    <w:rsid w:val="0098213E"/>
  </w:style>
  <w:style w:type="paragraph" w:customStyle="1" w:styleId="TableHeader">
    <w:name w:val="Table Header"/>
    <w:basedOn w:val="TableText"/>
    <w:uiPriority w:val="3"/>
    <w:rsid w:val="0098213E"/>
    <w:pPr>
      <w:spacing w:after="20"/>
    </w:pPr>
    <w:rPr>
      <w:color w:val="FFFFFF"/>
    </w:rPr>
  </w:style>
  <w:style w:type="paragraph" w:customStyle="1" w:styleId="TableText">
    <w:name w:val="Table Text"/>
    <w:basedOn w:val="Normal"/>
    <w:uiPriority w:val="3"/>
    <w:rsid w:val="008C1648"/>
    <w:pPr>
      <w:spacing w:after="200"/>
      <w:jc w:val="left"/>
    </w:pPr>
    <w:rPr>
      <w:color w:val="auto"/>
    </w:rPr>
  </w:style>
  <w:style w:type="paragraph" w:customStyle="1" w:styleId="TableHeaderText-Hymans">
    <w:name w:val="TableHeaderText - Hymans"/>
    <w:basedOn w:val="Normal"/>
    <w:uiPriority w:val="3"/>
    <w:rsid w:val="0098213E"/>
    <w:rPr>
      <w:rFonts w:ascii="Times New Roman" w:hAnsi="Times New Roman" w:cs="Times New Roman"/>
      <w:sz w:val="24"/>
      <w:szCs w:val="24"/>
    </w:rPr>
  </w:style>
  <w:style w:type="paragraph" w:customStyle="1" w:styleId="TableSpacer">
    <w:name w:val="TableSpacer"/>
    <w:basedOn w:val="Normal"/>
    <w:next w:val="Heading2"/>
    <w:uiPriority w:val="3"/>
    <w:rsid w:val="0098213E"/>
    <w:pPr>
      <w:spacing w:before="240"/>
    </w:pPr>
    <w:rPr>
      <w:color w:val="FFFFFF"/>
      <w:sz w:val="24"/>
    </w:rPr>
  </w:style>
  <w:style w:type="paragraph" w:customStyle="1" w:styleId="TableText-Hymans">
    <w:name w:val="TableText - Hymans"/>
    <w:basedOn w:val="Normal"/>
    <w:uiPriority w:val="3"/>
    <w:rsid w:val="0098213E"/>
    <w:rPr>
      <w:rFonts w:ascii="Times New Roman" w:hAnsi="Times New Roman" w:cs="Times New Roman"/>
      <w:sz w:val="24"/>
      <w:szCs w:val="24"/>
    </w:rPr>
  </w:style>
  <w:style w:type="paragraph" w:customStyle="1" w:styleId="TenderAppendix">
    <w:name w:val="Tender Appendix"/>
    <w:next w:val="Normal"/>
    <w:uiPriority w:val="3"/>
    <w:rsid w:val="0098213E"/>
    <w:pPr>
      <w:keepNext/>
      <w:keepLines/>
      <w:spacing w:after="0"/>
    </w:pPr>
    <w:rPr>
      <w:rFonts w:ascii="Arial" w:hAnsi="Arial"/>
      <w:caps/>
      <w:color w:val="40A6CC"/>
      <w:sz w:val="36"/>
    </w:rPr>
  </w:style>
  <w:style w:type="paragraph" w:customStyle="1" w:styleId="TenderBluetext">
    <w:name w:val="Tender Blue text"/>
    <w:basedOn w:val="Normal"/>
    <w:rsid w:val="007336DE"/>
    <w:pPr>
      <w:tabs>
        <w:tab w:val="right" w:pos="6271"/>
      </w:tabs>
      <w:spacing w:before="120"/>
      <w:jc w:val="left"/>
    </w:pPr>
    <w:rPr>
      <w:rFonts w:cs="Times New Roman"/>
      <w:iCs w:val="0"/>
      <w:color w:val="3FA6CC"/>
    </w:rPr>
  </w:style>
  <w:style w:type="paragraph" w:customStyle="1" w:styleId="TenderBullet">
    <w:name w:val="Tender Bullet"/>
    <w:basedOn w:val="Normal"/>
    <w:uiPriority w:val="3"/>
    <w:rsid w:val="0098213E"/>
    <w:pPr>
      <w:tabs>
        <w:tab w:val="num" w:pos="360"/>
      </w:tabs>
      <w:spacing w:after="240"/>
      <w:ind w:left="360" w:right="-3" w:hanging="360"/>
    </w:pPr>
    <w:rPr>
      <w:b/>
    </w:rPr>
  </w:style>
  <w:style w:type="paragraph" w:customStyle="1" w:styleId="TenderH1">
    <w:name w:val="Tender H1"/>
    <w:next w:val="Normal"/>
    <w:uiPriority w:val="3"/>
    <w:rsid w:val="0098213E"/>
    <w:pPr>
      <w:keepNext/>
      <w:keepLines/>
      <w:tabs>
        <w:tab w:val="num" w:pos="0"/>
      </w:tabs>
      <w:spacing w:after="360"/>
      <w:ind w:hanging="403"/>
    </w:pPr>
    <w:rPr>
      <w:rFonts w:ascii="Arial" w:hAnsi="Arial"/>
      <w:caps/>
      <w:color w:val="40A6CC"/>
      <w:sz w:val="36"/>
    </w:rPr>
  </w:style>
  <w:style w:type="paragraph" w:customStyle="1" w:styleId="TenderH2">
    <w:name w:val="Tender H2"/>
    <w:basedOn w:val="Normal"/>
    <w:next w:val="Normal"/>
    <w:uiPriority w:val="3"/>
    <w:rsid w:val="0098213E"/>
    <w:pPr>
      <w:keepNext/>
      <w:keepLines/>
      <w:tabs>
        <w:tab w:val="num" w:pos="0"/>
      </w:tabs>
    </w:pPr>
    <w:rPr>
      <w:caps/>
      <w:color w:val="F06A00"/>
    </w:rPr>
  </w:style>
  <w:style w:type="paragraph" w:customStyle="1" w:styleId="TenderIntro">
    <w:name w:val="Tender Intro"/>
    <w:uiPriority w:val="3"/>
    <w:rsid w:val="0098213E"/>
    <w:pPr>
      <w:spacing w:after="360"/>
      <w:ind w:left="-403"/>
    </w:pPr>
    <w:rPr>
      <w:rFonts w:ascii="Arial" w:hAnsi="Arial"/>
      <w:caps/>
      <w:color w:val="40A6CC"/>
      <w:sz w:val="36"/>
    </w:rPr>
  </w:style>
  <w:style w:type="paragraph" w:customStyle="1" w:styleId="TenderQuestion">
    <w:name w:val="Tender Question"/>
    <w:next w:val="BodyTextGrey"/>
    <w:qFormat/>
    <w:rsid w:val="00C059A4"/>
    <w:pPr>
      <w:numPr>
        <w:numId w:val="8"/>
      </w:numPr>
      <w:tabs>
        <w:tab w:val="left" w:pos="567"/>
      </w:tabs>
    </w:pPr>
    <w:rPr>
      <w:rFonts w:ascii="Arial" w:hAnsi="Arial" w:cs="Arial"/>
      <w:iCs/>
      <w:color w:val="3FA6CC"/>
      <w:lang w:eastAsia="en-US"/>
    </w:rPr>
  </w:style>
  <w:style w:type="paragraph" w:customStyle="1" w:styleId="TenderTableHeader">
    <w:name w:val="Tender Table Header"/>
    <w:basedOn w:val="Normal"/>
    <w:uiPriority w:val="3"/>
    <w:rsid w:val="0098213E"/>
    <w:rPr>
      <w:color w:val="FFFFFF"/>
    </w:rPr>
  </w:style>
  <w:style w:type="paragraph" w:customStyle="1" w:styleId="TenderVerticalBigBlue">
    <w:name w:val="Tender Vertical Big Blue"/>
    <w:uiPriority w:val="3"/>
    <w:rsid w:val="0098213E"/>
    <w:pPr>
      <w:tabs>
        <w:tab w:val="right" w:pos="9180"/>
      </w:tabs>
      <w:spacing w:after="0" w:line="280" w:lineRule="atLeast"/>
    </w:pPr>
    <w:rPr>
      <w:rFonts w:ascii="Arial" w:hAnsi="Arial" w:cs="Arial"/>
      <w:iCs/>
      <w:caps/>
      <w:color w:val="40A6CC"/>
      <w:sz w:val="112"/>
      <w:szCs w:val="112"/>
    </w:rPr>
  </w:style>
  <w:style w:type="paragraph" w:customStyle="1" w:styleId="TenderVerticalSmall">
    <w:name w:val="Tender Vertical Small"/>
    <w:basedOn w:val="Normal"/>
    <w:uiPriority w:val="3"/>
    <w:rsid w:val="0098213E"/>
    <w:pPr>
      <w:tabs>
        <w:tab w:val="right" w:pos="9180"/>
      </w:tabs>
    </w:pPr>
    <w:rPr>
      <w:caps/>
      <w:color w:val="646464"/>
      <w:sz w:val="36"/>
      <w:szCs w:val="36"/>
    </w:rPr>
  </w:style>
  <w:style w:type="paragraph" w:customStyle="1" w:styleId="TitleLogo">
    <w:name w:val="Title Logo"/>
    <w:basedOn w:val="Normal"/>
    <w:uiPriority w:val="3"/>
    <w:rsid w:val="0098213E"/>
    <w:pPr>
      <w:spacing w:before="1200" w:after="1560"/>
    </w:pPr>
    <w:rPr>
      <w:b/>
      <w:sz w:val="56"/>
    </w:rPr>
  </w:style>
  <w:style w:type="paragraph" w:customStyle="1" w:styleId="Action">
    <w:name w:val="Action"/>
    <w:basedOn w:val="Normal"/>
    <w:link w:val="ActionChar"/>
    <w:uiPriority w:val="3"/>
    <w:rsid w:val="008C1648"/>
    <w:pPr>
      <w:spacing w:after="200"/>
      <w:jc w:val="left"/>
    </w:pPr>
    <w:rPr>
      <w:color w:val="3FA6CC"/>
    </w:rPr>
  </w:style>
  <w:style w:type="character" w:customStyle="1" w:styleId="ActionChar">
    <w:name w:val="Action Char"/>
    <w:basedOn w:val="DefaultParagraphFont"/>
    <w:link w:val="Action"/>
    <w:uiPriority w:val="3"/>
    <w:rsid w:val="003D08BD"/>
    <w:rPr>
      <w:rFonts w:ascii="Arial" w:eastAsia="Times New Roman" w:hAnsi="Arial" w:cs="Arial"/>
      <w:iCs/>
      <w:color w:val="3FA6CC"/>
      <w:sz w:val="20"/>
      <w:szCs w:val="20"/>
    </w:rPr>
  </w:style>
  <w:style w:type="paragraph" w:styleId="Header">
    <w:name w:val="header"/>
    <w:next w:val="BodyTextGrey"/>
    <w:link w:val="HeaderChar"/>
    <w:uiPriority w:val="4"/>
    <w:rsid w:val="00BA6285"/>
    <w:pPr>
      <w:tabs>
        <w:tab w:val="right" w:pos="57"/>
      </w:tabs>
      <w:spacing w:after="80"/>
      <w:ind w:left="-425"/>
    </w:pPr>
    <w:rPr>
      <w:rFonts w:ascii="Arial" w:hAnsi="Arial" w:cs="Arial"/>
      <w:iCs/>
      <w:caps/>
      <w:color w:val="3FA6CC"/>
      <w:szCs w:val="28"/>
    </w:rPr>
  </w:style>
  <w:style w:type="character" w:customStyle="1" w:styleId="HeaderChar">
    <w:name w:val="Header Char"/>
    <w:basedOn w:val="DefaultParagraphFont"/>
    <w:link w:val="Header"/>
    <w:uiPriority w:val="4"/>
    <w:rsid w:val="00BA6285"/>
    <w:rPr>
      <w:rFonts w:ascii="Arial" w:eastAsia="Times New Roman" w:hAnsi="Arial" w:cs="Arial"/>
      <w:iCs/>
      <w:caps/>
      <w:color w:val="3FA6CC"/>
      <w:sz w:val="20"/>
      <w:szCs w:val="28"/>
    </w:rPr>
  </w:style>
  <w:style w:type="paragraph" w:styleId="Footer">
    <w:name w:val="footer"/>
    <w:basedOn w:val="Normal"/>
    <w:link w:val="FooterChar"/>
    <w:rsid w:val="0098213E"/>
    <w:pPr>
      <w:tabs>
        <w:tab w:val="center" w:pos="4153"/>
        <w:tab w:val="right" w:pos="8306"/>
      </w:tabs>
    </w:pPr>
  </w:style>
  <w:style w:type="character" w:customStyle="1" w:styleId="FooterChar">
    <w:name w:val="Footer Char"/>
    <w:basedOn w:val="DefaultParagraphFont"/>
    <w:link w:val="Footer"/>
    <w:uiPriority w:val="3"/>
    <w:rsid w:val="003D08BD"/>
    <w:rPr>
      <w:rFonts w:ascii="Arial" w:eastAsia="Times New Roman" w:hAnsi="Arial" w:cs="Arial"/>
      <w:iCs/>
      <w:color w:val="3FA6CC" w:themeColor="text1"/>
      <w:sz w:val="20"/>
      <w:szCs w:val="20"/>
    </w:rPr>
  </w:style>
  <w:style w:type="table" w:styleId="TableGrid">
    <w:name w:val="Table Grid"/>
    <w:basedOn w:val="TableNormal"/>
    <w:rsid w:val="0098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aliases w:val="serena"/>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cPr>
      <w:shd w:val="clear" w:color="auto" w:fill="auto"/>
    </w:tcPr>
    <w:tblStylePr w:type="firstRow">
      <w:pPr>
        <w:spacing w:before="0" w:after="0" w:line="240" w:lineRule="auto"/>
      </w:pPr>
      <w:rPr>
        <w:b/>
        <w:bCs/>
        <w:color w:val="auto"/>
      </w:rPr>
      <w:tblPr/>
      <w:tcPr>
        <w:shd w:val="clear" w:color="auto" w:fill="36601F" w:themeFill="text2" w:themeFillShade="80"/>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5">
    <w:name w:val="Light Shading Accent 5"/>
    <w:basedOn w:val="TableNormal"/>
    <w:uiPriority w:val="60"/>
    <w:rsid w:val="0098213E"/>
    <w:pPr>
      <w:spacing w:after="0"/>
    </w:pPr>
    <w:rPr>
      <w:color w:val="4A4A4A" w:themeColor="accent5" w:themeShade="BF"/>
    </w:rPr>
    <w:tblPr>
      <w:tblStyleRowBandSize w:val="1"/>
      <w:tblStyleColBandSize w:val="1"/>
      <w:tblBorders>
        <w:top w:val="single" w:sz="8" w:space="0" w:color="646464" w:themeColor="accent5"/>
        <w:bottom w:val="single" w:sz="8" w:space="0" w:color="646464" w:themeColor="accent5"/>
      </w:tblBorders>
    </w:tblPr>
    <w:tblStylePr w:type="fir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la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5" w:themeFillTint="3F"/>
      </w:tcPr>
    </w:tblStylePr>
    <w:tblStylePr w:type="band1Horz">
      <w:tblPr/>
      <w:tcPr>
        <w:tcBorders>
          <w:left w:val="nil"/>
          <w:right w:val="nil"/>
          <w:insideH w:val="nil"/>
          <w:insideV w:val="nil"/>
        </w:tcBorders>
        <w:shd w:val="clear" w:color="auto" w:fill="D8D8D8" w:themeFill="accent5" w:themeFillTint="3F"/>
      </w:tcPr>
    </w:tblStylePr>
  </w:style>
  <w:style w:type="paragraph" w:customStyle="1" w:styleId="BodyTextNum">
    <w:name w:val="Body Text Num"/>
    <w:basedOn w:val="Normal"/>
    <w:uiPriority w:val="3"/>
    <w:rsid w:val="008C1648"/>
    <w:pPr>
      <w:spacing w:after="200"/>
      <w:jc w:val="left"/>
    </w:pPr>
    <w:rPr>
      <w:color w:val="auto"/>
    </w:rPr>
  </w:style>
  <w:style w:type="paragraph" w:customStyle="1" w:styleId="ByLine">
    <w:name w:val="ByLine"/>
    <w:basedOn w:val="Normal"/>
    <w:uiPriority w:val="3"/>
    <w:rsid w:val="0098213E"/>
    <w:pPr>
      <w:framePr w:w="7042" w:h="2448" w:hRule="exact" w:hSpace="187" w:wrap="around" w:hAnchor="page" w:x="3889" w:y="8641" w:anchorLock="1"/>
      <w:spacing w:before="240" w:line="240" w:lineRule="auto"/>
      <w:ind w:left="864"/>
      <w:jc w:val="left"/>
    </w:pPr>
    <w:rPr>
      <w:b/>
      <w:iCs w:val="0"/>
      <w:color w:val="auto"/>
    </w:rPr>
  </w:style>
  <w:style w:type="paragraph" w:styleId="Caption">
    <w:name w:val="caption"/>
    <w:basedOn w:val="Normal"/>
    <w:next w:val="Normal"/>
    <w:uiPriority w:val="4"/>
    <w:rsid w:val="0098213E"/>
    <w:pPr>
      <w:spacing w:before="120" w:after="120"/>
    </w:pPr>
    <w:rPr>
      <w:bCs/>
    </w:rPr>
  </w:style>
  <w:style w:type="character" w:styleId="FootnoteReference">
    <w:name w:val="footnote reference"/>
    <w:basedOn w:val="DefaultParagraphFont"/>
    <w:semiHidden/>
    <w:rsid w:val="0098213E"/>
    <w:rPr>
      <w:vertAlign w:val="superscript"/>
    </w:rPr>
  </w:style>
  <w:style w:type="paragraph" w:styleId="FootnoteText">
    <w:name w:val="footnote text"/>
    <w:basedOn w:val="Normal"/>
    <w:link w:val="FootnoteTextChar"/>
    <w:semiHidden/>
    <w:rsid w:val="0098213E"/>
    <w:pPr>
      <w:spacing w:line="240" w:lineRule="auto"/>
      <w:jc w:val="left"/>
    </w:pPr>
    <w:rPr>
      <w:b/>
      <w:iCs w:val="0"/>
      <w:color w:val="auto"/>
    </w:rPr>
  </w:style>
  <w:style w:type="character" w:customStyle="1" w:styleId="FootnoteTextChar">
    <w:name w:val="Footnote Text Char"/>
    <w:basedOn w:val="DefaultParagraphFont"/>
    <w:link w:val="FootnoteText"/>
    <w:semiHidden/>
    <w:rsid w:val="003D08BD"/>
    <w:rPr>
      <w:rFonts w:ascii="Arial" w:eastAsia="Times New Roman" w:hAnsi="Arial" w:cs="Arial"/>
      <w:b/>
      <w:sz w:val="20"/>
      <w:szCs w:val="20"/>
    </w:rPr>
  </w:style>
  <w:style w:type="character" w:customStyle="1" w:styleId="Heading4Char">
    <w:name w:val="Heading 4 Char"/>
    <w:basedOn w:val="DefaultParagraphFont"/>
    <w:link w:val="Heading4"/>
    <w:rsid w:val="0000606C"/>
    <w:rPr>
      <w:rFonts w:ascii="Arial" w:hAnsi="Arial" w:cs="Arial"/>
      <w:b/>
      <w:iCs/>
      <w:color w:val="4B4B4B" w:themeColor="accent2"/>
      <w:lang w:eastAsia="en-US"/>
    </w:rPr>
  </w:style>
  <w:style w:type="character" w:customStyle="1" w:styleId="Heading5Char">
    <w:name w:val="Heading 5 Char"/>
    <w:aliases w:val="Briefing note heading Char"/>
    <w:basedOn w:val="DefaultParagraphFont"/>
    <w:link w:val="Heading5"/>
    <w:uiPriority w:val="4"/>
    <w:rsid w:val="00DA6F77"/>
    <w:rPr>
      <w:rFonts w:ascii="Arial" w:eastAsia="Times New Roman" w:hAnsi="Arial" w:cs="Tahoma"/>
      <w:color w:val="40A6CC"/>
      <w:spacing w:val="20"/>
      <w:sz w:val="20"/>
      <w:szCs w:val="146"/>
      <w:lang w:eastAsia="en-GB"/>
    </w:rPr>
  </w:style>
  <w:style w:type="character" w:customStyle="1" w:styleId="Heading6Char">
    <w:name w:val="Heading 6 Char"/>
    <w:basedOn w:val="DefaultParagraphFont"/>
    <w:link w:val="Heading6"/>
    <w:uiPriority w:val="4"/>
    <w:rsid w:val="00DA6F77"/>
    <w:rPr>
      <w:rFonts w:ascii="Arial" w:eastAsia="Times New Roman" w:hAnsi="Arial" w:cs="Arial"/>
      <w:i/>
      <w:iCs/>
      <w:color w:val="3FA6CC" w:themeColor="text1"/>
      <w:sz w:val="20"/>
      <w:szCs w:val="20"/>
    </w:rPr>
  </w:style>
  <w:style w:type="character" w:customStyle="1" w:styleId="Heading7Char">
    <w:name w:val="Heading 7 Char"/>
    <w:basedOn w:val="DefaultParagraphFont"/>
    <w:link w:val="Heading7"/>
    <w:uiPriority w:val="4"/>
    <w:semiHidden/>
    <w:rsid w:val="00DA6F77"/>
    <w:rPr>
      <w:rFonts w:ascii="Arial" w:eastAsia="Times New Roman" w:hAnsi="Arial" w:cs="Arial"/>
      <w:iCs/>
      <w:color w:val="3FA6CC" w:themeColor="text1"/>
      <w:sz w:val="24"/>
      <w:szCs w:val="20"/>
    </w:rPr>
  </w:style>
  <w:style w:type="character" w:customStyle="1" w:styleId="Heading8Char">
    <w:name w:val="Heading 8 Char"/>
    <w:basedOn w:val="DefaultParagraphFont"/>
    <w:link w:val="Heading8"/>
    <w:semiHidden/>
    <w:rsid w:val="003D08BD"/>
    <w:rPr>
      <w:rFonts w:ascii="Arial" w:eastAsia="Times New Roman" w:hAnsi="Arial" w:cs="Arial"/>
      <w:b/>
      <w:iCs/>
      <w:color w:val="3FA6CC" w:themeColor="text1"/>
      <w:sz w:val="20"/>
      <w:szCs w:val="20"/>
    </w:rPr>
  </w:style>
  <w:style w:type="character" w:customStyle="1" w:styleId="Heading9Char">
    <w:name w:val="Heading 9 Char"/>
    <w:basedOn w:val="DefaultParagraphFont"/>
    <w:link w:val="Heading9"/>
    <w:semiHidden/>
    <w:rsid w:val="003D08BD"/>
    <w:rPr>
      <w:rFonts w:ascii="Arial" w:eastAsia="Times New Roman" w:hAnsi="Arial" w:cs="Arial"/>
      <w:b/>
      <w:iCs/>
      <w:color w:val="3FA6CC" w:themeColor="text1"/>
      <w:sz w:val="20"/>
      <w:szCs w:val="20"/>
    </w:rPr>
  </w:style>
  <w:style w:type="character" w:styleId="Hyperlink">
    <w:name w:val="Hyperlink"/>
    <w:basedOn w:val="DefaultParagraphFont"/>
    <w:uiPriority w:val="99"/>
    <w:rsid w:val="0098213E"/>
    <w:rPr>
      <w:color w:val="0000FF"/>
      <w:u w:val="single"/>
    </w:rPr>
  </w:style>
  <w:style w:type="paragraph" w:customStyle="1" w:styleId="OrangeTitle">
    <w:name w:val="OrangeTitle"/>
    <w:basedOn w:val="Normal"/>
    <w:uiPriority w:val="3"/>
    <w:rsid w:val="0098213E"/>
    <w:pPr>
      <w:spacing w:after="60"/>
      <w:jc w:val="left"/>
    </w:pPr>
    <w:rPr>
      <w:caps/>
      <w:color w:val="F06A00"/>
    </w:rPr>
  </w:style>
  <w:style w:type="character" w:styleId="PageNumber">
    <w:name w:val="page number"/>
    <w:basedOn w:val="DefaultParagraphFont"/>
    <w:uiPriority w:val="3"/>
    <w:rsid w:val="0098213E"/>
  </w:style>
  <w:style w:type="paragraph" w:customStyle="1" w:styleId="ReportDate">
    <w:name w:val="ReportDate"/>
    <w:basedOn w:val="Normal"/>
    <w:next w:val="Normal"/>
    <w:uiPriority w:val="3"/>
    <w:rsid w:val="0098213E"/>
    <w:pPr>
      <w:framePr w:w="2030" w:hSpace="187" w:wrap="auto" w:vAnchor="page" w:hAnchor="page" w:x="8699" w:y="13249" w:anchorLock="1"/>
      <w:spacing w:line="240" w:lineRule="auto"/>
      <w:jc w:val="right"/>
    </w:pPr>
    <w:rPr>
      <w:b/>
      <w:iCs w:val="0"/>
      <w:noProof/>
      <w:color w:val="auto"/>
      <w:sz w:val="18"/>
    </w:rPr>
  </w:style>
  <w:style w:type="paragraph" w:styleId="TableofFigures">
    <w:name w:val="table of figures"/>
    <w:basedOn w:val="Normal"/>
    <w:next w:val="Normal"/>
    <w:semiHidden/>
    <w:rsid w:val="0098213E"/>
  </w:style>
  <w:style w:type="paragraph" w:styleId="TOC1">
    <w:name w:val="toc 1"/>
    <w:next w:val="BodyTextGrey"/>
    <w:uiPriority w:val="39"/>
    <w:rsid w:val="00BA6285"/>
    <w:pPr>
      <w:tabs>
        <w:tab w:val="left" w:pos="454"/>
        <w:tab w:val="left" w:pos="6124"/>
      </w:tabs>
    </w:pPr>
    <w:rPr>
      <w:rFonts w:ascii="Arial" w:hAnsi="Arial" w:cs="Arial"/>
      <w:iCs/>
      <w:color w:val="4B4B4B"/>
    </w:rPr>
  </w:style>
  <w:style w:type="paragraph" w:styleId="TOC2">
    <w:name w:val="toc 2"/>
    <w:basedOn w:val="Normal"/>
    <w:next w:val="Normal"/>
    <w:uiPriority w:val="3"/>
    <w:rsid w:val="0098213E"/>
    <w:pPr>
      <w:tabs>
        <w:tab w:val="right" w:pos="8648"/>
      </w:tabs>
      <w:spacing w:before="240"/>
    </w:pPr>
    <w:rPr>
      <w:rFonts w:ascii="Times New Roman" w:hAnsi="Times New Roman"/>
    </w:rPr>
  </w:style>
  <w:style w:type="paragraph" w:styleId="TOC3">
    <w:name w:val="toc 3"/>
    <w:basedOn w:val="Normal"/>
    <w:next w:val="Normal"/>
    <w:uiPriority w:val="3"/>
    <w:rsid w:val="0098213E"/>
    <w:pPr>
      <w:tabs>
        <w:tab w:val="right" w:pos="8648"/>
      </w:tabs>
      <w:ind w:left="200"/>
    </w:pPr>
    <w:rPr>
      <w:rFonts w:ascii="Times New Roman" w:hAnsi="Times New Roman"/>
      <w:b/>
    </w:rPr>
  </w:style>
  <w:style w:type="paragraph" w:styleId="TOC4">
    <w:name w:val="toc 4"/>
    <w:basedOn w:val="Normal"/>
    <w:next w:val="Normal"/>
    <w:uiPriority w:val="3"/>
    <w:rsid w:val="0098213E"/>
    <w:pPr>
      <w:tabs>
        <w:tab w:val="right" w:pos="8648"/>
      </w:tabs>
      <w:ind w:left="400"/>
    </w:pPr>
    <w:rPr>
      <w:rFonts w:ascii="Times New Roman" w:hAnsi="Times New Roman"/>
      <w:b/>
    </w:rPr>
  </w:style>
  <w:style w:type="paragraph" w:styleId="TOC5">
    <w:name w:val="toc 5"/>
    <w:basedOn w:val="Normal"/>
    <w:next w:val="Normal"/>
    <w:semiHidden/>
    <w:rsid w:val="0098213E"/>
    <w:pPr>
      <w:tabs>
        <w:tab w:val="right" w:pos="8648"/>
      </w:tabs>
      <w:ind w:left="600"/>
    </w:pPr>
    <w:rPr>
      <w:rFonts w:ascii="Times New Roman" w:hAnsi="Times New Roman"/>
      <w:b/>
    </w:rPr>
  </w:style>
  <w:style w:type="paragraph" w:styleId="TOC6">
    <w:name w:val="toc 6"/>
    <w:basedOn w:val="Normal"/>
    <w:next w:val="Normal"/>
    <w:semiHidden/>
    <w:rsid w:val="0098213E"/>
    <w:pPr>
      <w:tabs>
        <w:tab w:val="right" w:pos="8648"/>
      </w:tabs>
      <w:ind w:left="800"/>
    </w:pPr>
    <w:rPr>
      <w:rFonts w:ascii="Times New Roman" w:hAnsi="Times New Roman"/>
      <w:b/>
    </w:rPr>
  </w:style>
  <w:style w:type="paragraph" w:styleId="TOC7">
    <w:name w:val="toc 7"/>
    <w:basedOn w:val="Normal"/>
    <w:next w:val="Normal"/>
    <w:semiHidden/>
    <w:rsid w:val="0098213E"/>
    <w:pPr>
      <w:tabs>
        <w:tab w:val="right" w:pos="8648"/>
      </w:tabs>
      <w:ind w:left="1000"/>
    </w:pPr>
    <w:rPr>
      <w:rFonts w:ascii="Times New Roman" w:hAnsi="Times New Roman"/>
      <w:b/>
    </w:rPr>
  </w:style>
  <w:style w:type="paragraph" w:styleId="TOC8">
    <w:name w:val="toc 8"/>
    <w:basedOn w:val="Normal"/>
    <w:next w:val="Normal"/>
    <w:semiHidden/>
    <w:rsid w:val="0098213E"/>
    <w:pPr>
      <w:tabs>
        <w:tab w:val="right" w:pos="8648"/>
      </w:tabs>
      <w:ind w:left="1200"/>
    </w:pPr>
    <w:rPr>
      <w:rFonts w:ascii="Times New Roman" w:hAnsi="Times New Roman"/>
      <w:b/>
    </w:rPr>
  </w:style>
  <w:style w:type="paragraph" w:styleId="TOC9">
    <w:name w:val="toc 9"/>
    <w:basedOn w:val="Normal"/>
    <w:next w:val="Normal"/>
    <w:semiHidden/>
    <w:rsid w:val="0098213E"/>
    <w:pPr>
      <w:tabs>
        <w:tab w:val="right" w:pos="8648"/>
      </w:tabs>
      <w:ind w:left="1400"/>
    </w:pPr>
    <w:rPr>
      <w:rFonts w:ascii="Times New Roman" w:hAnsi="Times New Roman"/>
      <w:b/>
    </w:rPr>
  </w:style>
  <w:style w:type="paragraph" w:styleId="NoSpacing">
    <w:name w:val="No Spacing"/>
    <w:uiPriority w:val="3"/>
    <w:rsid w:val="0098213E"/>
    <w:pPr>
      <w:spacing w:after="0"/>
      <w:jc w:val="both"/>
    </w:pPr>
    <w:rPr>
      <w:rFonts w:ascii="Arial" w:hAnsi="Arial" w:cs="Arial"/>
      <w:iCs/>
      <w:color w:val="4B4B4B"/>
    </w:rPr>
  </w:style>
  <w:style w:type="table" w:styleId="MediumGrid3-Accent2">
    <w:name w:val="Medium Grid 3 Accent 2"/>
    <w:basedOn w:val="TableNormal"/>
    <w:uiPriority w:val="69"/>
    <w:rsid w:val="0098213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4B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4B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A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A5" w:themeFill="accent2" w:themeFillTint="7F"/>
      </w:tcPr>
    </w:tblStylePr>
  </w:style>
  <w:style w:type="table" w:styleId="MediumShading1-Accent4">
    <w:name w:val="Medium Shading 1 Accent 4"/>
    <w:basedOn w:val="TableNormal"/>
    <w:uiPriority w:val="63"/>
    <w:rsid w:val="0098213E"/>
    <w:pPr>
      <w:spacing w:after="0"/>
    </w:pPr>
    <w:tblPr>
      <w:tblStyleRowBandSize w:val="1"/>
      <w:tblStyleColBandSize w:val="1"/>
      <w:tbl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single" w:sz="8" w:space="0" w:color="6EBCD8" w:themeColor="accent4" w:themeTint="BF"/>
      </w:tblBorders>
    </w:tblPr>
    <w:tblStylePr w:type="firstRow">
      <w:pPr>
        <w:spacing w:before="0" w:after="0" w:line="240" w:lineRule="auto"/>
      </w:pPr>
      <w:rPr>
        <w:b/>
        <w:bCs/>
        <w:color w:val="FFFFFF" w:themeColor="background1"/>
      </w:rPr>
      <w:tblPr/>
      <w:tcPr>
        <w:tc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shd w:val="clear" w:color="auto" w:fill="3FA6CC" w:themeFill="accent4"/>
      </w:tcPr>
    </w:tblStylePr>
    <w:tblStylePr w:type="lastRow">
      <w:pPr>
        <w:spacing w:before="0" w:after="0" w:line="240" w:lineRule="auto"/>
      </w:pPr>
      <w:rPr>
        <w:b/>
        <w:bCs/>
      </w:rPr>
      <w:tblPr/>
      <w:tcPr>
        <w:tcBorders>
          <w:top w:val="double" w:sz="6"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E8F2" w:themeFill="accent4" w:themeFillTint="3F"/>
      </w:tcPr>
    </w:tblStylePr>
    <w:tblStylePr w:type="band1Horz">
      <w:tblPr/>
      <w:tcPr>
        <w:tcBorders>
          <w:insideH w:val="nil"/>
          <w:insideV w:val="nil"/>
        </w:tcBorders>
        <w:shd w:val="clear" w:color="auto" w:fill="CFE8F2"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213E"/>
    <w:pPr>
      <w:spacing w:after="0"/>
    </w:pPr>
    <w:tblPr>
      <w:tblStyleRowBandSize w:val="1"/>
      <w:tblStyleColBandSize w:val="1"/>
      <w:tbl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single" w:sz="8" w:space="0" w:color="92CF6F" w:themeColor="accent6" w:themeTint="BF"/>
      </w:tblBorders>
    </w:tblPr>
    <w:tblStylePr w:type="firstRow">
      <w:pPr>
        <w:spacing w:before="0" w:after="0" w:line="240" w:lineRule="auto"/>
      </w:pPr>
      <w:rPr>
        <w:rFonts w:ascii="Arial" w:hAnsi="Arial"/>
        <w:b/>
        <w:bCs/>
        <w:i w:val="0"/>
        <w:color w:val="FFFFFF" w:themeColor="background1"/>
      </w:rPr>
      <w:tblPr/>
      <w:tcPr>
        <w:tc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shd w:val="clear" w:color="auto" w:fill="6EC040" w:themeFill="accent6"/>
      </w:tcPr>
    </w:tblStylePr>
    <w:tblStylePr w:type="lastRow">
      <w:pPr>
        <w:spacing w:before="0" w:after="0" w:line="240" w:lineRule="auto"/>
      </w:pPr>
      <w:rPr>
        <w:b/>
        <w:bCs/>
      </w:rPr>
      <w:tblPr/>
      <w:tcPr>
        <w:tcBorders>
          <w:top w:val="double" w:sz="6"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FCF" w:themeFill="accent6" w:themeFillTint="3F"/>
      </w:tcPr>
    </w:tblStylePr>
    <w:tblStylePr w:type="band1Horz">
      <w:tblPr/>
      <w:tcPr>
        <w:tcBorders>
          <w:insideH w:val="nil"/>
          <w:insideV w:val="nil"/>
        </w:tcBorders>
        <w:shd w:val="clear" w:color="auto" w:fill="DAEF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213E"/>
    <w:pPr>
      <w:spacing w:after="0"/>
    </w:pPr>
    <w:tblPr>
      <w:tblStyleRowBandSize w:val="1"/>
      <w:tblStyleColBandSize w:val="1"/>
      <w:tbl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single" w:sz="8" w:space="0" w:color="8A8A8A" w:themeColor="accent5" w:themeTint="BF"/>
      </w:tblBorders>
    </w:tblPr>
    <w:tblStylePr w:type="firstRow">
      <w:pPr>
        <w:spacing w:before="0" w:after="0" w:line="240" w:lineRule="auto"/>
      </w:pPr>
      <w:rPr>
        <w:b/>
        <w:bCs/>
        <w:color w:val="FFFFFF" w:themeColor="background1"/>
      </w:rPr>
      <w:tblPr/>
      <w:tcPr>
        <w:tc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shd w:val="clear" w:color="auto" w:fill="646464" w:themeFill="accent5"/>
      </w:tcPr>
    </w:tblStylePr>
    <w:tblStylePr w:type="lastRow">
      <w:pPr>
        <w:spacing w:before="0" w:after="0" w:line="240" w:lineRule="auto"/>
      </w:pPr>
      <w:rPr>
        <w:b/>
        <w:bCs/>
      </w:rPr>
      <w:tblPr/>
      <w:tcPr>
        <w:tcBorders>
          <w:top w:val="double" w:sz="6"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8D8" w:themeFill="accent5" w:themeFillTint="3F"/>
      </w:tcPr>
    </w:tblStylePr>
    <w:tblStylePr w:type="band1Horz">
      <w:tblPr/>
      <w:tcPr>
        <w:tcBorders>
          <w:insideH w:val="nil"/>
          <w:insideV w:val="nil"/>
        </w:tcBorders>
        <w:shd w:val="clear" w:color="auto" w:fill="D8D8D8"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98213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C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C040" w:themeFill="accent6"/>
      </w:tcPr>
    </w:tblStylePr>
    <w:tblStylePr w:type="lastCol">
      <w:rPr>
        <w:b/>
        <w:bCs/>
        <w:color w:val="FFFFFF" w:themeColor="background1"/>
      </w:rPr>
      <w:tblPr/>
      <w:tcPr>
        <w:tcBorders>
          <w:left w:val="nil"/>
          <w:right w:val="nil"/>
          <w:insideH w:val="nil"/>
          <w:insideV w:val="nil"/>
        </w:tcBorders>
        <w:shd w:val="clear" w:color="auto" w:fill="6EC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98213E"/>
    <w:pPr>
      <w:spacing w:after="0"/>
    </w:pPr>
    <w:rPr>
      <w:color w:val="FFFFFF" w:themeColor="background1"/>
    </w:rPr>
    <w:tblPr>
      <w:tblStyleRowBandSize w:val="1"/>
      <w:tblStyleColBandSize w:val="1"/>
    </w:tblPr>
    <w:tcPr>
      <w:shd w:val="clear" w:color="auto" w:fill="F2016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FA6CC" w:themeFill="text1"/>
      </w:tcPr>
    </w:tblStylePr>
    <w:tblStylePr w:type="lastRow">
      <w:tblPr/>
      <w:tcPr>
        <w:tcBorders>
          <w:top w:val="single" w:sz="18" w:space="0" w:color="FFFFFF" w:themeColor="background1"/>
          <w:left w:val="nil"/>
          <w:bottom w:val="nil"/>
          <w:right w:val="nil"/>
          <w:insideH w:val="nil"/>
          <w:insideV w:val="nil"/>
        </w:tcBorders>
        <w:shd w:val="clear" w:color="auto" w:fill="7800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00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0050" w:themeFill="accent3" w:themeFillShade="BF"/>
      </w:tcPr>
    </w:tblStylePr>
    <w:tblStylePr w:type="band1Vert">
      <w:tblPr/>
      <w:tcPr>
        <w:tcBorders>
          <w:top w:val="nil"/>
          <w:left w:val="nil"/>
          <w:bottom w:val="nil"/>
          <w:right w:val="nil"/>
          <w:insideH w:val="nil"/>
          <w:insideV w:val="nil"/>
        </w:tcBorders>
        <w:shd w:val="clear" w:color="auto" w:fill="B50050" w:themeFill="accent3" w:themeFillShade="BF"/>
      </w:tcPr>
    </w:tblStylePr>
    <w:tblStylePr w:type="band1Horz">
      <w:tblPr/>
      <w:tcPr>
        <w:tcBorders>
          <w:top w:val="nil"/>
          <w:left w:val="nil"/>
          <w:bottom w:val="nil"/>
          <w:right w:val="nil"/>
          <w:insideH w:val="nil"/>
          <w:insideV w:val="nil"/>
        </w:tcBorders>
        <w:shd w:val="clear" w:color="auto" w:fill="B50050" w:themeFill="accent3" w:themeFillShade="BF"/>
      </w:tcPr>
    </w:tblStylePr>
  </w:style>
  <w:style w:type="table" w:customStyle="1" w:styleId="LightList-Accent11">
    <w:name w:val="Light List - Accent 11"/>
    <w:basedOn w:val="TableNormal"/>
    <w:uiPriority w:val="61"/>
    <w:rsid w:val="0098213E"/>
    <w:pPr>
      <w:spacing w:after="0"/>
    </w:pPr>
    <w:tblPr>
      <w:tblStyleRowBandSize w:val="1"/>
      <w:tblStyleColBandSize w:val="1"/>
      <w:tblBorders>
        <w:top w:val="single" w:sz="8" w:space="0" w:color="F06A00" w:themeColor="accent1"/>
        <w:left w:val="single" w:sz="8" w:space="0" w:color="F06A00" w:themeColor="accent1"/>
        <w:bottom w:val="single" w:sz="8" w:space="0" w:color="F06A00" w:themeColor="accent1"/>
        <w:right w:val="single" w:sz="8" w:space="0" w:color="F06A00" w:themeColor="accent1"/>
      </w:tblBorders>
    </w:tblPr>
    <w:tblStylePr w:type="firstRow">
      <w:pPr>
        <w:spacing w:before="0" w:after="0" w:line="240" w:lineRule="auto"/>
      </w:pPr>
      <w:rPr>
        <w:b/>
        <w:bCs/>
        <w:color w:val="FFFFFF" w:themeColor="background1"/>
      </w:rPr>
      <w:tblPr/>
      <w:tcPr>
        <w:shd w:val="clear" w:color="auto" w:fill="F06A00" w:themeFill="accent1"/>
      </w:tcPr>
    </w:tblStylePr>
    <w:tblStylePr w:type="lastRow">
      <w:pPr>
        <w:spacing w:before="0" w:after="0" w:line="240" w:lineRule="auto"/>
      </w:pPr>
      <w:rPr>
        <w:b/>
        <w:bCs/>
      </w:rPr>
      <w:tblPr/>
      <w:tcPr>
        <w:tcBorders>
          <w:top w:val="double" w:sz="6" w:space="0" w:color="F06A00" w:themeColor="accent1"/>
          <w:left w:val="single" w:sz="8" w:space="0" w:color="F06A00" w:themeColor="accent1"/>
          <w:bottom w:val="single" w:sz="8" w:space="0" w:color="F06A00" w:themeColor="accent1"/>
          <w:right w:val="single" w:sz="8" w:space="0" w:color="F06A00" w:themeColor="accent1"/>
        </w:tcBorders>
      </w:tcPr>
    </w:tblStylePr>
    <w:tblStylePr w:type="firstCol">
      <w:rPr>
        <w:b/>
        <w:bCs/>
      </w:rPr>
    </w:tblStylePr>
    <w:tblStylePr w:type="lastCol">
      <w:rPr>
        <w:b/>
        <w:bCs/>
      </w:rPr>
    </w:tblStylePr>
    <w:tblStylePr w:type="band1Vert">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tblStylePr w:type="band1Horz">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style>
  <w:style w:type="table" w:customStyle="1" w:styleId="LightList1">
    <w:name w:val="Light List1"/>
    <w:basedOn w:val="TableNormal"/>
    <w:uiPriority w:val="61"/>
    <w:rsid w:val="00A134C9"/>
    <w:pPr>
      <w:spacing w:after="0"/>
    </w:pPr>
    <w:tblPr>
      <w:tblStyleRowBandSize w:val="1"/>
      <w:tblStyleColBandSize w:val="1"/>
      <w:tblBorders>
        <w:top w:val="single" w:sz="8" w:space="0" w:color="3FA6CC" w:themeColor="text1"/>
        <w:left w:val="single" w:sz="8" w:space="0" w:color="3FA6CC" w:themeColor="text1"/>
        <w:bottom w:val="single" w:sz="8" w:space="0" w:color="3FA6CC" w:themeColor="text1"/>
        <w:right w:val="single" w:sz="8" w:space="0" w:color="3FA6CC" w:themeColor="text1"/>
      </w:tblBorders>
    </w:tblPr>
    <w:tblStylePr w:type="firstRow">
      <w:pPr>
        <w:spacing w:before="0" w:after="0" w:line="240" w:lineRule="auto"/>
      </w:pPr>
      <w:rPr>
        <w:b w:val="0"/>
        <w:bCs/>
        <w:color w:val="FFFFFF" w:themeColor="background1"/>
      </w:rPr>
      <w:tblPr/>
      <w:tcPr>
        <w:shd w:val="clear" w:color="auto" w:fill="E1F2D8" w:themeFill="text2" w:themeFillTint="33"/>
      </w:tcPr>
    </w:tblStylePr>
    <w:tblStylePr w:type="lastRow">
      <w:pPr>
        <w:spacing w:before="0" w:after="0" w:line="240" w:lineRule="auto"/>
      </w:pPr>
      <w:rPr>
        <w:b/>
        <w:bCs/>
      </w:rPr>
      <w:tblPr/>
      <w:tcPr>
        <w:tcBorders>
          <w:top w:val="double" w:sz="6" w:space="0" w:color="3FA6CC" w:themeColor="text1"/>
          <w:left w:val="single" w:sz="8" w:space="0" w:color="3FA6CC" w:themeColor="text1"/>
          <w:bottom w:val="single" w:sz="8" w:space="0" w:color="3FA6CC" w:themeColor="text1"/>
          <w:right w:val="single" w:sz="8" w:space="0" w:color="3FA6CC" w:themeColor="text1"/>
        </w:tcBorders>
      </w:tcPr>
    </w:tblStylePr>
    <w:tblStylePr w:type="firstCol">
      <w:rPr>
        <w:b w:val="0"/>
        <w:bCs/>
        <w:i w:val="0"/>
      </w:rPr>
    </w:tblStylePr>
    <w:tblStylePr w:type="lastCol">
      <w:rPr>
        <w:b w:val="0"/>
        <w:bCs/>
        <w:i w:val="0"/>
      </w:rPr>
    </w:tblStylePr>
    <w:tblStylePr w:type="band1Vert">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1Horz">
      <w:rPr>
        <w:color w:val="3FA6CC" w:themeColor="text1"/>
      </w:rPr>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2Horz">
      <w:rPr>
        <w:color w:val="3FA6CC" w:themeColor="text1"/>
      </w:rPr>
    </w:tblStylePr>
  </w:style>
  <w:style w:type="table" w:customStyle="1" w:styleId="LightShading1">
    <w:name w:val="Light Shading1"/>
    <w:basedOn w:val="TableNormal"/>
    <w:uiPriority w:val="60"/>
    <w:rsid w:val="0098213E"/>
    <w:pPr>
      <w:spacing w:after="0"/>
    </w:pPr>
    <w:rPr>
      <w:color w:val="2A7E9D" w:themeColor="text1" w:themeShade="BF"/>
    </w:rPr>
    <w:tblPr>
      <w:tblStyleRowBandSize w:val="1"/>
      <w:tblStyleColBandSize w:val="1"/>
      <w:tblBorders>
        <w:top w:val="single" w:sz="8" w:space="0" w:color="3FA6CC" w:themeColor="text1"/>
        <w:bottom w:val="single" w:sz="8" w:space="0" w:color="3FA6CC" w:themeColor="text1"/>
      </w:tblBorders>
    </w:tblPr>
    <w:tblStylePr w:type="fir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la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hemeFill="text1" w:themeFillTint="3F"/>
      </w:tcPr>
    </w:tblStylePr>
    <w:tblStylePr w:type="band1Horz">
      <w:tblPr/>
      <w:tcPr>
        <w:tcBorders>
          <w:left w:val="nil"/>
          <w:right w:val="nil"/>
          <w:insideH w:val="nil"/>
          <w:insideV w:val="nil"/>
        </w:tcBorders>
        <w:shd w:val="clear" w:color="auto" w:fill="CFE8F2" w:themeFill="text1" w:themeFillTint="3F"/>
      </w:tcPr>
    </w:tblStylePr>
  </w:style>
  <w:style w:type="table" w:customStyle="1" w:styleId="LightShading-Accent12">
    <w:name w:val="Light Shading - Accent 12"/>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blStylePr w:type="fir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2">
    <w:name w:val="Light Shading Accent 2"/>
    <w:basedOn w:val="TableNormal"/>
    <w:uiPriority w:val="60"/>
    <w:rsid w:val="0098213E"/>
    <w:pPr>
      <w:spacing w:after="0"/>
    </w:pPr>
    <w:rPr>
      <w:color w:val="383838" w:themeColor="accent2" w:themeShade="BF"/>
    </w:rPr>
    <w:tblPr>
      <w:tblStyleRowBandSize w:val="1"/>
      <w:tblStyleColBandSize w:val="1"/>
      <w:tblBorders>
        <w:top w:val="single" w:sz="8" w:space="0" w:color="4B4B4B" w:themeColor="accent2"/>
        <w:bottom w:val="single" w:sz="8" w:space="0" w:color="4B4B4B" w:themeColor="accent2"/>
      </w:tblBorders>
    </w:tblPr>
    <w:tblStylePr w:type="fir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la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2" w:themeFill="accent2" w:themeFillTint="3F"/>
      </w:tcPr>
    </w:tblStylePr>
    <w:tblStylePr w:type="band1Horz">
      <w:tblPr/>
      <w:tcPr>
        <w:tcBorders>
          <w:left w:val="nil"/>
          <w:right w:val="nil"/>
          <w:insideH w:val="nil"/>
          <w:insideV w:val="nil"/>
        </w:tcBorders>
        <w:shd w:val="clear" w:color="auto" w:fill="D2D2D2" w:themeFill="accent2" w:themeFillTint="3F"/>
      </w:tcPr>
    </w:tblStylePr>
  </w:style>
  <w:style w:type="table" w:styleId="LightShading-Accent3">
    <w:name w:val="Light Shading Accent 3"/>
    <w:basedOn w:val="TableNormal"/>
    <w:uiPriority w:val="60"/>
    <w:rsid w:val="0098213E"/>
    <w:pPr>
      <w:spacing w:after="0"/>
    </w:pPr>
    <w:rPr>
      <w:color w:val="B50050" w:themeColor="accent3" w:themeShade="BF"/>
    </w:rPr>
    <w:tblPr>
      <w:tblStyleRowBandSize w:val="1"/>
      <w:tblStyleColBandSize w:val="1"/>
      <w:tblBorders>
        <w:top w:val="single" w:sz="8" w:space="0" w:color="F2016C" w:themeColor="accent3"/>
        <w:bottom w:val="single" w:sz="8" w:space="0" w:color="F2016C" w:themeColor="accent3"/>
      </w:tblBorders>
    </w:tblPr>
    <w:tblStylePr w:type="fir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la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DDA" w:themeFill="accent3" w:themeFillTint="3F"/>
      </w:tcPr>
    </w:tblStylePr>
    <w:tblStylePr w:type="band1Horz">
      <w:tblPr/>
      <w:tcPr>
        <w:tcBorders>
          <w:left w:val="nil"/>
          <w:right w:val="nil"/>
          <w:insideH w:val="nil"/>
          <w:insideV w:val="nil"/>
        </w:tcBorders>
        <w:shd w:val="clear" w:color="auto" w:fill="FEBDDA" w:themeFill="accent3" w:themeFillTint="3F"/>
      </w:tcPr>
    </w:tblStylePr>
  </w:style>
  <w:style w:type="table" w:styleId="LightList-Accent2">
    <w:name w:val="Light List Accent 2"/>
    <w:basedOn w:val="TableNormal"/>
    <w:uiPriority w:val="61"/>
    <w:rsid w:val="0098213E"/>
    <w:pPr>
      <w:spacing w:after="0"/>
    </w:pPr>
    <w:tblPr>
      <w:tblStyleRowBandSize w:val="1"/>
      <w:tblStyleColBandSize w:val="1"/>
      <w:tblBorders>
        <w:top w:val="single" w:sz="8" w:space="0" w:color="4B4B4B" w:themeColor="accent2"/>
        <w:left w:val="single" w:sz="8" w:space="0" w:color="4B4B4B" w:themeColor="accent2"/>
        <w:bottom w:val="single" w:sz="8" w:space="0" w:color="4B4B4B" w:themeColor="accent2"/>
        <w:right w:val="single" w:sz="8" w:space="0" w:color="4B4B4B" w:themeColor="accent2"/>
      </w:tblBorders>
    </w:tblPr>
    <w:tblStylePr w:type="firstRow">
      <w:pPr>
        <w:spacing w:before="0" w:after="0" w:line="240" w:lineRule="auto"/>
      </w:pPr>
      <w:rPr>
        <w:b/>
        <w:bCs/>
        <w:color w:val="FFFFFF" w:themeColor="background1"/>
      </w:rPr>
      <w:tblPr/>
      <w:tcPr>
        <w:shd w:val="clear" w:color="auto" w:fill="4B4B4B" w:themeFill="accent2"/>
      </w:tcPr>
    </w:tblStylePr>
    <w:tblStylePr w:type="lastRow">
      <w:pPr>
        <w:spacing w:before="0" w:after="0" w:line="240" w:lineRule="auto"/>
      </w:pPr>
      <w:rPr>
        <w:b/>
        <w:bCs/>
      </w:rPr>
      <w:tblPr/>
      <w:tcPr>
        <w:tcBorders>
          <w:top w:val="double" w:sz="6" w:space="0" w:color="4B4B4B" w:themeColor="accent2"/>
          <w:left w:val="single" w:sz="8" w:space="0" w:color="4B4B4B" w:themeColor="accent2"/>
          <w:bottom w:val="single" w:sz="8" w:space="0" w:color="4B4B4B" w:themeColor="accent2"/>
          <w:right w:val="single" w:sz="8" w:space="0" w:color="4B4B4B" w:themeColor="accent2"/>
        </w:tcBorders>
      </w:tcPr>
    </w:tblStylePr>
    <w:tblStylePr w:type="firstCol">
      <w:rPr>
        <w:b/>
        <w:bCs/>
      </w:rPr>
    </w:tblStylePr>
    <w:tblStylePr w:type="lastCol">
      <w:rPr>
        <w:b/>
        <w:bCs/>
      </w:rPr>
    </w:tblStylePr>
    <w:tblStylePr w:type="band1Vert">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tblStylePr w:type="band1Horz">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style>
  <w:style w:type="table" w:styleId="LightList-Accent3">
    <w:name w:val="Light List Accent 3"/>
    <w:basedOn w:val="TableNormal"/>
    <w:uiPriority w:val="61"/>
    <w:rsid w:val="0098213E"/>
    <w:pPr>
      <w:spacing w:after="0"/>
    </w:pPr>
    <w:tblPr>
      <w:tblStyleRowBandSize w:val="1"/>
      <w:tblStyleColBandSize w:val="1"/>
      <w:tblBorders>
        <w:top w:val="single" w:sz="8" w:space="0" w:color="F2016C" w:themeColor="accent3"/>
        <w:left w:val="single" w:sz="8" w:space="0" w:color="F2016C" w:themeColor="accent3"/>
        <w:bottom w:val="single" w:sz="8" w:space="0" w:color="F2016C" w:themeColor="accent3"/>
        <w:right w:val="single" w:sz="8" w:space="0" w:color="F2016C" w:themeColor="accent3"/>
      </w:tblBorders>
    </w:tblPr>
    <w:tblStylePr w:type="firstRow">
      <w:pPr>
        <w:spacing w:before="0" w:after="0" w:line="240" w:lineRule="auto"/>
      </w:pPr>
      <w:rPr>
        <w:b/>
        <w:bCs/>
        <w:color w:val="FFFFFF" w:themeColor="background1"/>
      </w:rPr>
      <w:tblPr/>
      <w:tcPr>
        <w:shd w:val="clear" w:color="auto" w:fill="F2016C" w:themeFill="accent3"/>
      </w:tcPr>
    </w:tblStylePr>
    <w:tblStylePr w:type="lastRow">
      <w:pPr>
        <w:spacing w:before="0" w:after="0" w:line="240" w:lineRule="auto"/>
      </w:pPr>
      <w:rPr>
        <w:b/>
        <w:bCs/>
      </w:rPr>
      <w:tblPr/>
      <w:tcPr>
        <w:tcBorders>
          <w:top w:val="double" w:sz="6" w:space="0" w:color="F2016C" w:themeColor="accent3"/>
          <w:left w:val="single" w:sz="8" w:space="0" w:color="F2016C" w:themeColor="accent3"/>
          <w:bottom w:val="single" w:sz="8" w:space="0" w:color="F2016C" w:themeColor="accent3"/>
          <w:right w:val="single" w:sz="8" w:space="0" w:color="F2016C" w:themeColor="accent3"/>
        </w:tcBorders>
      </w:tcPr>
    </w:tblStylePr>
    <w:tblStylePr w:type="firstCol">
      <w:rPr>
        <w:b/>
        <w:bCs/>
      </w:rPr>
    </w:tblStylePr>
    <w:tblStylePr w:type="lastCol">
      <w:rPr>
        <w:b/>
        <w:bCs/>
      </w:rPr>
    </w:tblStylePr>
    <w:tblStylePr w:type="band1Vert">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tblStylePr w:type="band1Horz">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style>
  <w:style w:type="table" w:customStyle="1" w:styleId="MediumShading1-Accent11">
    <w:name w:val="Medium Shading 1 - Accent 11"/>
    <w:basedOn w:val="TableNormal"/>
    <w:uiPriority w:val="63"/>
    <w:rsid w:val="0098213E"/>
    <w:pPr>
      <w:spacing w:after="0"/>
    </w:pPr>
    <w:tblPr>
      <w:tblStyleRowBandSize w:val="1"/>
      <w:tblStyleColBandSize w:val="1"/>
      <w:tbl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single" w:sz="8" w:space="0" w:color="FF8D34" w:themeColor="accent1" w:themeTint="BF"/>
      </w:tblBorders>
    </w:tblPr>
    <w:tblStylePr w:type="firstRow">
      <w:pPr>
        <w:spacing w:before="0" w:after="0" w:line="240" w:lineRule="auto"/>
      </w:pPr>
      <w:rPr>
        <w:b/>
        <w:bCs/>
        <w:color w:val="FFFFFF" w:themeColor="background1"/>
      </w:rPr>
      <w:tblPr/>
      <w:tcPr>
        <w:tc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shd w:val="clear" w:color="auto" w:fill="F06A00" w:themeFill="accent1"/>
      </w:tcPr>
    </w:tblStylePr>
    <w:tblStylePr w:type="lastRow">
      <w:pPr>
        <w:spacing w:before="0" w:after="0" w:line="240" w:lineRule="auto"/>
      </w:pPr>
      <w:rPr>
        <w:b/>
        <w:bCs/>
      </w:rPr>
      <w:tblPr/>
      <w:tcPr>
        <w:tcBorders>
          <w:top w:val="double" w:sz="6"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C" w:themeFill="accent1" w:themeFillTint="3F"/>
      </w:tcPr>
    </w:tblStylePr>
    <w:tblStylePr w:type="band1Horz">
      <w:tblPr/>
      <w:tcPr>
        <w:tcBorders>
          <w:insideH w:val="nil"/>
          <w:insideV w:val="nil"/>
        </w:tcBorders>
        <w:shd w:val="clear" w:color="auto" w:fill="FFD9BC" w:themeFill="accent1" w:themeFillTint="3F"/>
      </w:tcPr>
    </w:tblStylePr>
    <w:tblStylePr w:type="band2Horz">
      <w:tblPr/>
      <w:tcPr>
        <w:tcBorders>
          <w:insideH w:val="nil"/>
          <w:insideV w:val="nil"/>
        </w:tcBorders>
      </w:tcPr>
    </w:tblStylePr>
  </w:style>
  <w:style w:type="paragraph" w:customStyle="1" w:styleId="BodyTextGrey">
    <w:name w:val="Body Text Grey"/>
    <w:basedOn w:val="BodyText"/>
    <w:link w:val="BodyTextGreyChar"/>
    <w:qFormat/>
    <w:rsid w:val="00C059A4"/>
    <w:pPr>
      <w:spacing w:after="200"/>
      <w:jc w:val="left"/>
    </w:pPr>
    <w:rPr>
      <w:color w:val="4B4B4B"/>
      <w:lang w:eastAsia="en-US"/>
    </w:rPr>
  </w:style>
  <w:style w:type="paragraph" w:customStyle="1" w:styleId="White">
    <w:name w:val="White"/>
    <w:basedOn w:val="BodyText"/>
    <w:next w:val="BodyTextGrey"/>
    <w:uiPriority w:val="2"/>
    <w:qFormat/>
    <w:rsid w:val="00C059A4"/>
    <w:pPr>
      <w:spacing w:after="200"/>
      <w:jc w:val="left"/>
    </w:pPr>
    <w:rPr>
      <w:color w:val="FFFFFF" w:themeColor="background1"/>
      <w:lang w:eastAsia="en-US"/>
    </w:rPr>
  </w:style>
  <w:style w:type="paragraph" w:customStyle="1" w:styleId="Orange">
    <w:name w:val="Orange"/>
    <w:basedOn w:val="Normal"/>
    <w:next w:val="BodyTextGrey"/>
    <w:uiPriority w:val="2"/>
    <w:qFormat/>
    <w:rsid w:val="00C059A4"/>
    <w:pPr>
      <w:spacing w:after="200"/>
      <w:jc w:val="left"/>
    </w:pPr>
    <w:rPr>
      <w:color w:val="F06A00" w:themeColor="accent1"/>
      <w:lang w:eastAsia="en-US"/>
    </w:rPr>
  </w:style>
  <w:style w:type="numbering" w:customStyle="1" w:styleId="HRBullet">
    <w:name w:val="HR Bullet"/>
    <w:uiPriority w:val="99"/>
    <w:rsid w:val="00E42972"/>
    <w:pPr>
      <w:numPr>
        <w:numId w:val="2"/>
      </w:numPr>
    </w:pPr>
  </w:style>
  <w:style w:type="paragraph" w:styleId="ListParagraph">
    <w:name w:val="List Paragraph"/>
    <w:basedOn w:val="Normal"/>
    <w:uiPriority w:val="34"/>
    <w:rsid w:val="00EA5AE2"/>
    <w:pPr>
      <w:ind w:left="720"/>
      <w:contextualSpacing/>
    </w:pPr>
  </w:style>
  <w:style w:type="paragraph" w:customStyle="1" w:styleId="Blue">
    <w:name w:val="Blue"/>
    <w:basedOn w:val="BodyText"/>
    <w:next w:val="BodyTextGrey"/>
    <w:uiPriority w:val="2"/>
    <w:qFormat/>
    <w:rsid w:val="00C059A4"/>
    <w:pPr>
      <w:spacing w:after="200"/>
      <w:jc w:val="left"/>
    </w:pPr>
    <w:rPr>
      <w:lang w:eastAsia="en-US"/>
    </w:rPr>
  </w:style>
  <w:style w:type="paragraph" w:customStyle="1" w:styleId="HRTest18">
    <w:name w:val="HRTest18"/>
    <w:basedOn w:val="Normal"/>
    <w:uiPriority w:val="3"/>
    <w:rsid w:val="0098213E"/>
    <w:pPr>
      <w:spacing w:after="20"/>
      <w:ind w:left="200"/>
    </w:pPr>
    <w:rPr>
      <w:caps/>
      <w:color w:val="FF9900"/>
    </w:rPr>
  </w:style>
  <w:style w:type="table" w:styleId="LightList-Accent4">
    <w:name w:val="Light List Accent 4"/>
    <w:basedOn w:val="TableNormal"/>
    <w:uiPriority w:val="61"/>
    <w:rsid w:val="0098213E"/>
    <w:pPr>
      <w:spacing w:after="0"/>
    </w:pPr>
    <w:tblPr>
      <w:tblStyleRowBandSize w:val="1"/>
      <w:tblStyleColBandSize w:val="1"/>
      <w:tblBorders>
        <w:top w:val="single" w:sz="8" w:space="0" w:color="3FA6CC" w:themeColor="accent4"/>
        <w:left w:val="single" w:sz="8" w:space="0" w:color="3FA6CC" w:themeColor="accent4"/>
        <w:bottom w:val="single" w:sz="8" w:space="0" w:color="3FA6CC" w:themeColor="accent4"/>
        <w:right w:val="single" w:sz="8" w:space="0" w:color="3FA6CC" w:themeColor="accent4"/>
      </w:tblBorders>
    </w:tblPr>
    <w:tblStylePr w:type="firstRow">
      <w:pPr>
        <w:spacing w:before="0" w:after="0" w:line="240" w:lineRule="auto"/>
      </w:pPr>
      <w:rPr>
        <w:b/>
        <w:bCs/>
        <w:color w:val="FFFFFF" w:themeColor="background1"/>
      </w:rPr>
      <w:tblPr/>
      <w:tcPr>
        <w:shd w:val="clear" w:color="auto" w:fill="3FA6CC" w:themeFill="accent4"/>
      </w:tcPr>
    </w:tblStylePr>
    <w:tblStylePr w:type="lastRow">
      <w:pPr>
        <w:spacing w:before="0" w:after="0" w:line="240" w:lineRule="auto"/>
      </w:pPr>
      <w:rPr>
        <w:b/>
        <w:bCs/>
      </w:rPr>
      <w:tblPr/>
      <w:tcPr>
        <w:tcBorders>
          <w:top w:val="double" w:sz="6" w:space="0" w:color="3FA6CC" w:themeColor="accent4"/>
          <w:left w:val="single" w:sz="8" w:space="0" w:color="3FA6CC" w:themeColor="accent4"/>
          <w:bottom w:val="single" w:sz="8" w:space="0" w:color="3FA6CC" w:themeColor="accent4"/>
          <w:right w:val="single" w:sz="8" w:space="0" w:color="3FA6CC" w:themeColor="accent4"/>
        </w:tcBorders>
      </w:tcPr>
    </w:tblStylePr>
    <w:tblStylePr w:type="firstCol">
      <w:rPr>
        <w:b/>
        <w:bCs/>
      </w:rPr>
    </w:tblStylePr>
    <w:tblStylePr w:type="lastCol">
      <w:rPr>
        <w:b/>
        <w:bCs/>
      </w:rPr>
    </w:tblStylePr>
    <w:tblStylePr w:type="band1Vert">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tblStylePr w:type="band1Horz">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style>
  <w:style w:type="paragraph" w:customStyle="1" w:styleId="MeetingHeader">
    <w:name w:val="MeetingHeader"/>
    <w:basedOn w:val="Normal"/>
    <w:uiPriority w:val="3"/>
    <w:rsid w:val="008C1648"/>
    <w:pPr>
      <w:spacing w:after="20"/>
    </w:pPr>
    <w:rPr>
      <w:iCs w:val="0"/>
      <w:color w:val="4B4B4B"/>
    </w:rPr>
  </w:style>
  <w:style w:type="paragraph" w:customStyle="1" w:styleId="MeetingHeaderCaps">
    <w:name w:val="MeetingHeaderCaps"/>
    <w:basedOn w:val="Normal"/>
    <w:uiPriority w:val="3"/>
    <w:rsid w:val="008C1648"/>
    <w:pPr>
      <w:spacing w:after="20"/>
    </w:pPr>
    <w:rPr>
      <w:iCs w:val="0"/>
      <w:caps/>
      <w:color w:val="4B4B4B"/>
    </w:rPr>
  </w:style>
  <w:style w:type="paragraph" w:customStyle="1" w:styleId="MeetingTitle">
    <w:name w:val="MeetingTitle"/>
    <w:basedOn w:val="MeetingHeaderCaps"/>
    <w:next w:val="MeetingHeaderCaps"/>
    <w:uiPriority w:val="3"/>
    <w:rsid w:val="0098213E"/>
  </w:style>
  <w:style w:type="character" w:customStyle="1" w:styleId="Style1">
    <w:name w:val="Style1"/>
    <w:uiPriority w:val="1"/>
    <w:rsid w:val="0098213E"/>
  </w:style>
  <w:style w:type="character" w:styleId="SubtleEmphasis">
    <w:name w:val="Subtle Emphasis"/>
    <w:basedOn w:val="DefaultParagraphFont"/>
    <w:uiPriority w:val="19"/>
    <w:rsid w:val="0098213E"/>
    <w:rPr>
      <w:i/>
      <w:iCs/>
      <w:color w:val="9FD2E5" w:themeColor="text1" w:themeTint="7F"/>
    </w:rPr>
  </w:style>
  <w:style w:type="paragraph" w:styleId="Title">
    <w:name w:val="Title"/>
    <w:basedOn w:val="Normal"/>
    <w:link w:val="TitleChar"/>
    <w:uiPriority w:val="3"/>
    <w:rsid w:val="0098213E"/>
    <w:pPr>
      <w:spacing w:before="240" w:after="60" w:line="280" w:lineRule="exact"/>
      <w:jc w:val="left"/>
      <w:outlineLvl w:val="0"/>
    </w:pPr>
    <w:rPr>
      <w:bCs/>
      <w:caps/>
      <w:color w:val="3FA6CC"/>
      <w:kern w:val="28"/>
      <w:sz w:val="36"/>
      <w:szCs w:val="36"/>
    </w:rPr>
  </w:style>
  <w:style w:type="character" w:customStyle="1" w:styleId="TitleChar">
    <w:name w:val="Title Char"/>
    <w:basedOn w:val="DefaultParagraphFont"/>
    <w:link w:val="Title"/>
    <w:uiPriority w:val="3"/>
    <w:rsid w:val="0098213E"/>
    <w:rPr>
      <w:rFonts w:ascii="Arial" w:eastAsia="Times New Roman" w:hAnsi="Arial" w:cs="Arial"/>
      <w:bCs/>
      <w:iCs/>
      <w:caps/>
      <w:color w:val="3FA6CC"/>
      <w:kern w:val="28"/>
      <w:sz w:val="36"/>
      <w:szCs w:val="36"/>
    </w:rPr>
  </w:style>
  <w:style w:type="paragraph" w:customStyle="1" w:styleId="StyleTenderVerticalBigBlue48ptLeft02cmRight02">
    <w:name w:val="Style Tender Vertical Big Blue + 48 pt Left:  0.2 cm Right:  0.2 ..."/>
    <w:basedOn w:val="TenderVerticalBigBlue"/>
    <w:rsid w:val="00302D29"/>
    <w:pPr>
      <w:spacing w:after="20"/>
      <w:ind w:left="113" w:right="113"/>
    </w:pPr>
    <w:rPr>
      <w:rFonts w:cs="Times New Roman"/>
      <w:iCs w:val="0"/>
      <w:caps w:val="0"/>
    </w:rPr>
  </w:style>
  <w:style w:type="paragraph" w:customStyle="1" w:styleId="BulletHymans">
    <w:name w:val="Bullet Hymans"/>
    <w:link w:val="BulletHymansChar"/>
    <w:uiPriority w:val="2"/>
    <w:qFormat/>
    <w:rsid w:val="00C059A4"/>
    <w:pPr>
      <w:spacing w:after="140" w:line="280" w:lineRule="exact"/>
    </w:pPr>
    <w:rPr>
      <w:rFonts w:ascii="Arial" w:hAnsi="Arial" w:cs="Arial"/>
      <w:iCs/>
      <w:color w:val="4B4B4B"/>
      <w:lang w:eastAsia="en-US"/>
    </w:rPr>
  </w:style>
  <w:style w:type="paragraph" w:customStyle="1" w:styleId="NumberHymans">
    <w:name w:val="Number Hymans"/>
    <w:uiPriority w:val="2"/>
    <w:qFormat/>
    <w:rsid w:val="00C059A4"/>
    <w:pPr>
      <w:numPr>
        <w:numId w:val="11"/>
      </w:numPr>
      <w:spacing w:after="140" w:line="280" w:lineRule="exact"/>
    </w:pPr>
    <w:rPr>
      <w:rFonts w:ascii="Arial" w:hAnsi="Arial" w:cs="Arial"/>
      <w:iCs/>
      <w:color w:val="4B4B4B"/>
      <w:lang w:eastAsia="en-US"/>
    </w:rPr>
  </w:style>
  <w:style w:type="paragraph" w:customStyle="1" w:styleId="StyleTenderBluetextBefore1pt">
    <w:name w:val="Style Tender Blue text + Before:  1 pt"/>
    <w:basedOn w:val="TenderBluetext"/>
    <w:rsid w:val="00C3770F"/>
    <w:pPr>
      <w:spacing w:before="20"/>
    </w:pPr>
    <w:rPr>
      <w:caps/>
    </w:rPr>
  </w:style>
  <w:style w:type="paragraph" w:customStyle="1" w:styleId="Filepath">
    <w:name w:val="Filepath"/>
    <w:uiPriority w:val="3"/>
    <w:rsid w:val="00425E54"/>
    <w:pPr>
      <w:spacing w:line="280" w:lineRule="atLeast"/>
      <w:ind w:left="-425"/>
    </w:pPr>
    <w:rPr>
      <w:rFonts w:ascii="Arial" w:hAnsi="Arial" w:cs="Arial"/>
      <w:color w:val="4B4B4B"/>
      <w:sz w:val="14"/>
    </w:rPr>
  </w:style>
  <w:style w:type="paragraph" w:styleId="BodyText">
    <w:name w:val="Body Text"/>
    <w:next w:val="BodyTextGrey"/>
    <w:link w:val="BodyTextChar"/>
    <w:unhideWhenUsed/>
    <w:rsid w:val="00C059A4"/>
    <w:pPr>
      <w:spacing w:after="120" w:line="280" w:lineRule="atLeast"/>
      <w:jc w:val="both"/>
    </w:pPr>
    <w:rPr>
      <w:rFonts w:ascii="Arial" w:hAnsi="Arial" w:cs="Arial"/>
      <w:iCs/>
      <w:color w:val="3FA6CC" w:themeColor="text1"/>
    </w:rPr>
  </w:style>
  <w:style w:type="character" w:customStyle="1" w:styleId="BodyTextChar">
    <w:name w:val="Body Text Char"/>
    <w:basedOn w:val="DefaultParagraphFont"/>
    <w:link w:val="BodyText"/>
    <w:uiPriority w:val="1"/>
    <w:semiHidden/>
    <w:rsid w:val="00C059A4"/>
    <w:rPr>
      <w:rFonts w:ascii="Arial" w:hAnsi="Arial" w:cs="Arial"/>
      <w:iCs/>
      <w:color w:val="3FA6CC" w:themeColor="text1"/>
    </w:rPr>
  </w:style>
  <w:style w:type="paragraph" w:styleId="BalloonText">
    <w:name w:val="Balloon Text"/>
    <w:basedOn w:val="Normal"/>
    <w:link w:val="BalloonTextChar"/>
    <w:uiPriority w:val="99"/>
    <w:semiHidden/>
    <w:unhideWhenUsed/>
    <w:rsid w:val="00066F4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40"/>
    <w:rPr>
      <w:rFonts w:ascii="Tahoma" w:hAnsi="Tahoma" w:cs="Tahoma"/>
      <w:iCs/>
      <w:color w:val="3FA6CC" w:themeColor="text1"/>
      <w:sz w:val="16"/>
      <w:szCs w:val="16"/>
    </w:rPr>
  </w:style>
  <w:style w:type="character" w:customStyle="1" w:styleId="BodyTextGreyChar">
    <w:name w:val="Body Text Grey Char"/>
    <w:basedOn w:val="DefaultParagraphFont"/>
    <w:link w:val="BodyTextGrey"/>
    <w:rsid w:val="00276A73"/>
    <w:rPr>
      <w:rFonts w:ascii="Arial" w:hAnsi="Arial" w:cs="Arial"/>
      <w:iCs/>
      <w:color w:val="4B4B4B"/>
      <w:lang w:eastAsia="en-US"/>
    </w:rPr>
  </w:style>
  <w:style w:type="character" w:styleId="FollowedHyperlink">
    <w:name w:val="FollowedHyperlink"/>
    <w:basedOn w:val="DefaultParagraphFont"/>
    <w:uiPriority w:val="99"/>
    <w:semiHidden/>
    <w:unhideWhenUsed/>
    <w:rsid w:val="009056A1"/>
    <w:rPr>
      <w:color w:val="646464" w:themeColor="followedHyperlink"/>
      <w:u w:val="single"/>
    </w:rPr>
  </w:style>
  <w:style w:type="character" w:styleId="CommentReference">
    <w:name w:val="annotation reference"/>
    <w:basedOn w:val="DefaultParagraphFont"/>
    <w:uiPriority w:val="99"/>
    <w:semiHidden/>
    <w:unhideWhenUsed/>
    <w:rsid w:val="00C5633F"/>
    <w:rPr>
      <w:sz w:val="16"/>
      <w:szCs w:val="16"/>
    </w:rPr>
  </w:style>
  <w:style w:type="paragraph" w:styleId="CommentText">
    <w:name w:val="annotation text"/>
    <w:basedOn w:val="Normal"/>
    <w:link w:val="CommentTextChar"/>
    <w:uiPriority w:val="99"/>
    <w:unhideWhenUsed/>
    <w:rsid w:val="00C5633F"/>
    <w:pPr>
      <w:spacing w:line="240" w:lineRule="auto"/>
    </w:pPr>
  </w:style>
  <w:style w:type="character" w:customStyle="1" w:styleId="CommentTextChar">
    <w:name w:val="Comment Text Char"/>
    <w:basedOn w:val="DefaultParagraphFont"/>
    <w:link w:val="CommentText"/>
    <w:uiPriority w:val="99"/>
    <w:rsid w:val="00C5633F"/>
    <w:rPr>
      <w:rFonts w:ascii="Arial" w:hAnsi="Arial" w:cs="Arial"/>
      <w:iCs/>
      <w:color w:val="3FA6CC" w:themeColor="text1"/>
    </w:rPr>
  </w:style>
  <w:style w:type="paragraph" w:styleId="CommentSubject">
    <w:name w:val="annotation subject"/>
    <w:basedOn w:val="CommentText"/>
    <w:next w:val="CommentText"/>
    <w:link w:val="CommentSubjectChar"/>
    <w:uiPriority w:val="99"/>
    <w:semiHidden/>
    <w:unhideWhenUsed/>
    <w:rsid w:val="00C5633F"/>
    <w:rPr>
      <w:b/>
      <w:bCs/>
    </w:rPr>
  </w:style>
  <w:style w:type="character" w:customStyle="1" w:styleId="CommentSubjectChar">
    <w:name w:val="Comment Subject Char"/>
    <w:basedOn w:val="CommentTextChar"/>
    <w:link w:val="CommentSubject"/>
    <w:uiPriority w:val="99"/>
    <w:semiHidden/>
    <w:rsid w:val="00C5633F"/>
    <w:rPr>
      <w:rFonts w:ascii="Arial" w:hAnsi="Arial" w:cs="Arial"/>
      <w:b/>
      <w:bCs/>
      <w:iCs/>
      <w:color w:val="3FA6CC" w:themeColor="text1"/>
    </w:rPr>
  </w:style>
  <w:style w:type="character" w:customStyle="1" w:styleId="BulletHymansChar">
    <w:name w:val="Bullet Hymans Char"/>
    <w:basedOn w:val="DefaultParagraphFont"/>
    <w:link w:val="BulletHymans"/>
    <w:uiPriority w:val="2"/>
    <w:locked/>
    <w:rsid w:val="00F36C2D"/>
    <w:rPr>
      <w:rFonts w:ascii="Arial" w:hAnsi="Arial" w:cs="Arial"/>
      <w:iCs/>
      <w:color w:val="4B4B4B"/>
      <w:lang w:eastAsia="en-US"/>
    </w:rPr>
  </w:style>
  <w:style w:type="character" w:customStyle="1" w:styleId="Heading2NumChar">
    <w:name w:val="Heading 2 Num Char"/>
    <w:basedOn w:val="Heading2Char"/>
    <w:link w:val="Heading2Num"/>
    <w:uiPriority w:val="1"/>
    <w:rsid w:val="00095DBE"/>
    <w:rPr>
      <w:rFonts w:ascii="Arial" w:hAnsi="Arial" w:cs="Arial"/>
      <w:b/>
      <w:iCs/>
      <w:color w:val="F06A00" w:themeColor="accent1"/>
      <w:lang w:eastAsia="en-US"/>
    </w:rPr>
  </w:style>
  <w:style w:type="paragraph" w:styleId="Revision">
    <w:name w:val="Revision"/>
    <w:hidden/>
    <w:uiPriority w:val="99"/>
    <w:semiHidden/>
    <w:rsid w:val="004336B1"/>
    <w:pPr>
      <w:spacing w:before="0" w:after="0"/>
    </w:pPr>
    <w:rPr>
      <w:rFonts w:ascii="Arial" w:hAnsi="Arial" w:cs="Arial"/>
      <w:iCs/>
      <w:color w:val="3FA6CC" w:themeColor="text1"/>
    </w:rPr>
  </w:style>
  <w:style w:type="character" w:customStyle="1" w:styleId="HeaderTextGrey">
    <w:name w:val="Header Text Grey"/>
    <w:uiPriority w:val="1"/>
    <w:qFormat/>
    <w:rsid w:val="001636FD"/>
    <w:rPr>
      <w:rFonts w:ascii="Arial" w:hAnsi="Arial"/>
      <w:caps/>
      <w:color w:val="455560"/>
      <w:sz w:val="20"/>
    </w:rPr>
  </w:style>
  <w:style w:type="table" w:customStyle="1" w:styleId="TableGrid1">
    <w:name w:val="Table Grid1"/>
    <w:basedOn w:val="TableNormal"/>
    <w:next w:val="TableGrid"/>
    <w:rsid w:val="001636FD"/>
    <w:rPr>
      <w:color w:val="45556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styleId="UnresolvedMention">
    <w:name w:val="Unresolved Mention"/>
    <w:basedOn w:val="DefaultParagraphFont"/>
    <w:uiPriority w:val="99"/>
    <w:semiHidden/>
    <w:unhideWhenUsed/>
    <w:rsid w:val="007D4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263924">
      <w:bodyDiv w:val="1"/>
      <w:marLeft w:val="0"/>
      <w:marRight w:val="0"/>
      <w:marTop w:val="0"/>
      <w:marBottom w:val="0"/>
      <w:divBdr>
        <w:top w:val="none" w:sz="0" w:space="0" w:color="auto"/>
        <w:left w:val="none" w:sz="0" w:space="0" w:color="auto"/>
        <w:bottom w:val="none" w:sz="0" w:space="0" w:color="auto"/>
        <w:right w:val="none" w:sz="0" w:space="0" w:color="auto"/>
      </w:divBdr>
    </w:div>
    <w:div w:id="625963854">
      <w:bodyDiv w:val="1"/>
      <w:marLeft w:val="0"/>
      <w:marRight w:val="0"/>
      <w:marTop w:val="0"/>
      <w:marBottom w:val="0"/>
      <w:divBdr>
        <w:top w:val="none" w:sz="0" w:space="0" w:color="auto"/>
        <w:left w:val="none" w:sz="0" w:space="0" w:color="auto"/>
        <w:bottom w:val="none" w:sz="0" w:space="0" w:color="auto"/>
        <w:right w:val="none" w:sz="0" w:space="0" w:color="auto"/>
      </w:divBdr>
    </w:div>
    <w:div w:id="182716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Nigel.Mascarenhas@camden.gov.uk"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gov.uk/government/consultations/local-government-pension-scheme-changes-to-the-local-valuation-cycle-and-management-of-employer-risk"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lgpsboard.org/images/Other/Advice_from_the_SAB_on_McCloud_May_2019.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3.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R Colour">
  <a:themeElements>
    <a:clrScheme name="HR Colour">
      <a:dk1>
        <a:srgbClr val="3FA6CC"/>
      </a:dk1>
      <a:lt1>
        <a:srgbClr val="FFFFFF"/>
      </a:lt1>
      <a:dk2>
        <a:srgbClr val="6EC040"/>
      </a:dk2>
      <a:lt2>
        <a:srgbClr val="FFFFFF"/>
      </a:lt2>
      <a:accent1>
        <a:srgbClr val="F06A00"/>
      </a:accent1>
      <a:accent2>
        <a:srgbClr val="4B4B4B"/>
      </a:accent2>
      <a:accent3>
        <a:srgbClr val="F2016C"/>
      </a:accent3>
      <a:accent4>
        <a:srgbClr val="3FA6CC"/>
      </a:accent4>
      <a:accent5>
        <a:srgbClr val="646464"/>
      </a:accent5>
      <a:accent6>
        <a:srgbClr val="6EC040"/>
      </a:accent6>
      <a:hlink>
        <a:srgbClr val="F73D96"/>
      </a:hlink>
      <a:folHlink>
        <a:srgbClr val="646464"/>
      </a:folHlink>
    </a:clrScheme>
    <a:fontScheme name="HR Colou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HR Colou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DF33370390F4B8CCA7E282A2DD500" ma:contentTypeVersion="4" ma:contentTypeDescription="Create a new document." ma:contentTypeScope="" ma:versionID="6b17f89d0d2810fb3c940d3e12cd6006">
  <xsd:schema xmlns:xsd="http://www.w3.org/2001/XMLSchema" xmlns:xs="http://www.w3.org/2001/XMLSchema" xmlns:p="http://schemas.microsoft.com/office/2006/metadata/properties" xmlns:ns2="33f95e2e-7da9-46bf-ab50-9eb6fd5585e7" targetNamespace="http://schemas.microsoft.com/office/2006/metadata/properties" ma:root="true" ma:fieldsID="1de88259eb8eff11a6cd76a29efa14d1" ns2:_="">
    <xsd:import namespace="33f95e2e-7da9-46bf-ab50-9eb6fd5585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95e2e-7da9-46bf-ab50-9eb6fd558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93FC6-11F3-48B6-A921-C15C1A4136F8}">
  <ds:schemaRefs>
    <ds:schemaRef ds:uri="http://schemas.microsoft.com/sharepoint/v3/contenttype/forms"/>
  </ds:schemaRefs>
</ds:datastoreItem>
</file>

<file path=customXml/itemProps2.xml><?xml version="1.0" encoding="utf-8"?>
<ds:datastoreItem xmlns:ds="http://schemas.openxmlformats.org/officeDocument/2006/customXml" ds:itemID="{C7713FF3-8ABE-4215-821C-173466EB3238}">
  <ds:schemaRefs>
    <ds:schemaRef ds:uri="http://purl.org/dc/terms/"/>
    <ds:schemaRef ds:uri="http://schemas.openxmlformats.org/package/2006/metadata/core-properties"/>
    <ds:schemaRef ds:uri="33f95e2e-7da9-46bf-ab50-9eb6fd5585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2AC01B2-F9BF-405B-97B4-577C041BE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95e2e-7da9-46bf-ab50-9eb6fd55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90FBA-E23E-438B-B157-350DABE6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17314</Words>
  <Characters>98691</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115774</CharactersWithSpaces>
  <SharedDoc>false</SharedDoc>
  <HLinks>
    <vt:vector size="648" baseType="variant">
      <vt:variant>
        <vt:i4>589846</vt:i4>
      </vt:variant>
      <vt:variant>
        <vt:i4>363</vt:i4>
      </vt:variant>
      <vt:variant>
        <vt:i4>0</vt:i4>
      </vt:variant>
      <vt:variant>
        <vt:i4>5</vt:i4>
      </vt:variant>
      <vt:variant>
        <vt:lpwstr/>
      </vt:variant>
      <vt:variant>
        <vt:lpwstr>AppendixD</vt:lpwstr>
      </vt:variant>
      <vt:variant>
        <vt:i4>1966099</vt:i4>
      </vt:variant>
      <vt:variant>
        <vt:i4>360</vt:i4>
      </vt:variant>
      <vt:variant>
        <vt:i4>0</vt:i4>
      </vt:variant>
      <vt:variant>
        <vt:i4>5</vt:i4>
      </vt:variant>
      <vt:variant>
        <vt:lpwstr/>
      </vt:variant>
      <vt:variant>
        <vt:lpwstr>whatdifferenttypesof</vt:lpwstr>
      </vt:variant>
      <vt:variant>
        <vt:i4>589872</vt:i4>
      </vt:variant>
      <vt:variant>
        <vt:i4>357</vt:i4>
      </vt:variant>
      <vt:variant>
        <vt:i4>0</vt:i4>
      </vt:variant>
      <vt:variant>
        <vt:i4>5</vt:i4>
      </vt:variant>
      <vt:variant>
        <vt:lpwstr/>
      </vt:variant>
      <vt:variant>
        <vt:lpwstr>TheDifferentApproachesUsedForDiffEmps3_3</vt:lpwstr>
      </vt:variant>
      <vt:variant>
        <vt:i4>589846</vt:i4>
      </vt:variant>
      <vt:variant>
        <vt:i4>354</vt:i4>
      </vt:variant>
      <vt:variant>
        <vt:i4>0</vt:i4>
      </vt:variant>
      <vt:variant>
        <vt:i4>5</vt:i4>
      </vt:variant>
      <vt:variant>
        <vt:lpwstr/>
      </vt:variant>
      <vt:variant>
        <vt:lpwstr>AppendixE</vt:lpwstr>
      </vt:variant>
      <vt:variant>
        <vt:i4>655386</vt:i4>
      </vt:variant>
      <vt:variant>
        <vt:i4>351</vt:i4>
      </vt:variant>
      <vt:variant>
        <vt:i4>0</vt:i4>
      </vt:variant>
      <vt:variant>
        <vt:i4>5</vt:i4>
      </vt:variant>
      <vt:variant>
        <vt:lpwstr/>
      </vt:variant>
      <vt:variant>
        <vt:lpwstr>Notee</vt:lpwstr>
      </vt:variant>
      <vt:variant>
        <vt:i4>655386</vt:i4>
      </vt:variant>
      <vt:variant>
        <vt:i4>348</vt:i4>
      </vt:variant>
      <vt:variant>
        <vt:i4>0</vt:i4>
      </vt:variant>
      <vt:variant>
        <vt:i4>5</vt:i4>
      </vt:variant>
      <vt:variant>
        <vt:lpwstr/>
      </vt:variant>
      <vt:variant>
        <vt:lpwstr>Notec</vt:lpwstr>
      </vt:variant>
      <vt:variant>
        <vt:i4>1507418</vt:i4>
      </vt:variant>
      <vt:variant>
        <vt:i4>345</vt:i4>
      </vt:variant>
      <vt:variant>
        <vt:i4>0</vt:i4>
      </vt:variant>
      <vt:variant>
        <vt:i4>5</vt:i4>
      </vt:variant>
      <vt:variant>
        <vt:lpwstr/>
      </vt:variant>
      <vt:variant>
        <vt:lpwstr>D5How_is_each_employers_asset_share_cal</vt:lpwstr>
      </vt:variant>
      <vt:variant>
        <vt:i4>589846</vt:i4>
      </vt:variant>
      <vt:variant>
        <vt:i4>342</vt:i4>
      </vt:variant>
      <vt:variant>
        <vt:i4>0</vt:i4>
      </vt:variant>
      <vt:variant>
        <vt:i4>5</vt:i4>
      </vt:variant>
      <vt:variant>
        <vt:lpwstr/>
      </vt:variant>
      <vt:variant>
        <vt:lpwstr>AppendixE</vt:lpwstr>
      </vt:variant>
      <vt:variant>
        <vt:i4>589846</vt:i4>
      </vt:variant>
      <vt:variant>
        <vt:i4>339</vt:i4>
      </vt:variant>
      <vt:variant>
        <vt:i4>0</vt:i4>
      </vt:variant>
      <vt:variant>
        <vt:i4>5</vt:i4>
      </vt:variant>
      <vt:variant>
        <vt:lpwstr/>
      </vt:variant>
      <vt:variant>
        <vt:lpwstr>AppendixE</vt:lpwstr>
      </vt:variant>
      <vt:variant>
        <vt:i4>655386</vt:i4>
      </vt:variant>
      <vt:variant>
        <vt:i4>336</vt:i4>
      </vt:variant>
      <vt:variant>
        <vt:i4>0</vt:i4>
      </vt:variant>
      <vt:variant>
        <vt:i4>5</vt:i4>
      </vt:variant>
      <vt:variant>
        <vt:lpwstr/>
      </vt:variant>
      <vt:variant>
        <vt:lpwstr>Notee</vt:lpwstr>
      </vt:variant>
      <vt:variant>
        <vt:i4>655386</vt:i4>
      </vt:variant>
      <vt:variant>
        <vt:i4>333</vt:i4>
      </vt:variant>
      <vt:variant>
        <vt:i4>0</vt:i4>
      </vt:variant>
      <vt:variant>
        <vt:i4>5</vt:i4>
      </vt:variant>
      <vt:variant>
        <vt:lpwstr/>
      </vt:variant>
      <vt:variant>
        <vt:lpwstr>Notec</vt:lpwstr>
      </vt:variant>
      <vt:variant>
        <vt:i4>720899</vt:i4>
      </vt:variant>
      <vt:variant>
        <vt:i4>330</vt:i4>
      </vt:variant>
      <vt:variant>
        <vt:i4>0</vt:i4>
      </vt:variant>
      <vt:variant>
        <vt:i4>5</vt:i4>
      </vt:variant>
      <vt:variant>
        <vt:lpwstr/>
      </vt:variant>
      <vt:variant>
        <vt:lpwstr>howisthesecondarycontributionrate</vt:lpwstr>
      </vt:variant>
      <vt:variant>
        <vt:i4>262171</vt:i4>
      </vt:variant>
      <vt:variant>
        <vt:i4>327</vt:i4>
      </vt:variant>
      <vt:variant>
        <vt:i4>0</vt:i4>
      </vt:variant>
      <vt:variant>
        <vt:i4>5</vt:i4>
      </vt:variant>
      <vt:variant>
        <vt:lpwstr/>
      </vt:variant>
      <vt:variant>
        <vt:lpwstr>howistheprimarycontributionratecalculate</vt:lpwstr>
      </vt:variant>
      <vt:variant>
        <vt:i4>589846</vt:i4>
      </vt:variant>
      <vt:variant>
        <vt:i4>324</vt:i4>
      </vt:variant>
      <vt:variant>
        <vt:i4>0</vt:i4>
      </vt:variant>
      <vt:variant>
        <vt:i4>5</vt:i4>
      </vt:variant>
      <vt:variant>
        <vt:lpwstr/>
      </vt:variant>
      <vt:variant>
        <vt:lpwstr>AppendixE</vt:lpwstr>
      </vt:variant>
      <vt:variant>
        <vt:i4>655386</vt:i4>
      </vt:variant>
      <vt:variant>
        <vt:i4>321</vt:i4>
      </vt:variant>
      <vt:variant>
        <vt:i4>0</vt:i4>
      </vt:variant>
      <vt:variant>
        <vt:i4>5</vt:i4>
      </vt:variant>
      <vt:variant>
        <vt:lpwstr/>
      </vt:variant>
      <vt:variant>
        <vt:lpwstr>Notee</vt:lpwstr>
      </vt:variant>
      <vt:variant>
        <vt:i4>589872</vt:i4>
      </vt:variant>
      <vt:variant>
        <vt:i4>318</vt:i4>
      </vt:variant>
      <vt:variant>
        <vt:i4>0</vt:i4>
      </vt:variant>
      <vt:variant>
        <vt:i4>5</vt:i4>
      </vt:variant>
      <vt:variant>
        <vt:lpwstr/>
      </vt:variant>
      <vt:variant>
        <vt:lpwstr>TheDifferentApproachesUsedForDiffEmps3_3</vt:lpwstr>
      </vt:variant>
      <vt:variant>
        <vt:i4>655386</vt:i4>
      </vt:variant>
      <vt:variant>
        <vt:i4>315</vt:i4>
      </vt:variant>
      <vt:variant>
        <vt:i4>0</vt:i4>
      </vt:variant>
      <vt:variant>
        <vt:i4>5</vt:i4>
      </vt:variant>
      <vt:variant>
        <vt:lpwstr/>
      </vt:variant>
      <vt:variant>
        <vt:lpwstr>Notec</vt:lpwstr>
      </vt:variant>
      <vt:variant>
        <vt:i4>589872</vt:i4>
      </vt:variant>
      <vt:variant>
        <vt:i4>312</vt:i4>
      </vt:variant>
      <vt:variant>
        <vt:i4>0</vt:i4>
      </vt:variant>
      <vt:variant>
        <vt:i4>5</vt:i4>
      </vt:variant>
      <vt:variant>
        <vt:lpwstr/>
      </vt:variant>
      <vt:variant>
        <vt:lpwstr>TheDifferentApproachesUsedForDiffEmps3_3</vt:lpwstr>
      </vt:variant>
      <vt:variant>
        <vt:i4>589846</vt:i4>
      </vt:variant>
      <vt:variant>
        <vt:i4>309</vt:i4>
      </vt:variant>
      <vt:variant>
        <vt:i4>0</vt:i4>
      </vt:variant>
      <vt:variant>
        <vt:i4>5</vt:i4>
      </vt:variant>
      <vt:variant>
        <vt:lpwstr/>
      </vt:variant>
      <vt:variant>
        <vt:lpwstr>AppendixE</vt:lpwstr>
      </vt:variant>
      <vt:variant>
        <vt:i4>4980759</vt:i4>
      </vt:variant>
      <vt:variant>
        <vt:i4>306</vt:i4>
      </vt:variant>
      <vt:variant>
        <vt:i4>0</vt:i4>
      </vt:variant>
      <vt:variant>
        <vt:i4>5</vt:i4>
      </vt:variant>
      <vt:variant>
        <vt:lpwstr/>
      </vt:variant>
      <vt:variant>
        <vt:lpwstr>Section2</vt:lpwstr>
      </vt:variant>
      <vt:variant>
        <vt:i4>4980759</vt:i4>
      </vt:variant>
      <vt:variant>
        <vt:i4>303</vt:i4>
      </vt:variant>
      <vt:variant>
        <vt:i4>0</vt:i4>
      </vt:variant>
      <vt:variant>
        <vt:i4>5</vt:i4>
      </vt:variant>
      <vt:variant>
        <vt:lpwstr/>
      </vt:variant>
      <vt:variant>
        <vt:lpwstr>Section2</vt:lpwstr>
      </vt:variant>
      <vt:variant>
        <vt:i4>589872</vt:i4>
      </vt:variant>
      <vt:variant>
        <vt:i4>300</vt:i4>
      </vt:variant>
      <vt:variant>
        <vt:i4>0</vt:i4>
      </vt:variant>
      <vt:variant>
        <vt:i4>5</vt:i4>
      </vt:variant>
      <vt:variant>
        <vt:lpwstr/>
      </vt:variant>
      <vt:variant>
        <vt:lpwstr>TheDifferentApproachesUsedForDiffEmps3_3</vt:lpwstr>
      </vt:variant>
      <vt:variant>
        <vt:i4>655386</vt:i4>
      </vt:variant>
      <vt:variant>
        <vt:i4>297</vt:i4>
      </vt:variant>
      <vt:variant>
        <vt:i4>0</vt:i4>
      </vt:variant>
      <vt:variant>
        <vt:i4>5</vt:i4>
      </vt:variant>
      <vt:variant>
        <vt:lpwstr/>
      </vt:variant>
      <vt:variant>
        <vt:lpwstr>Notea</vt:lpwstr>
      </vt:variant>
      <vt:variant>
        <vt:i4>589872</vt:i4>
      </vt:variant>
      <vt:variant>
        <vt:i4>294</vt:i4>
      </vt:variant>
      <vt:variant>
        <vt:i4>0</vt:i4>
      </vt:variant>
      <vt:variant>
        <vt:i4>5</vt:i4>
      </vt:variant>
      <vt:variant>
        <vt:lpwstr/>
      </vt:variant>
      <vt:variant>
        <vt:lpwstr>TheDifferentApproachesUsedForDiffEmps3_3</vt:lpwstr>
      </vt:variant>
      <vt:variant>
        <vt:i4>655386</vt:i4>
      </vt:variant>
      <vt:variant>
        <vt:i4>291</vt:i4>
      </vt:variant>
      <vt:variant>
        <vt:i4>0</vt:i4>
      </vt:variant>
      <vt:variant>
        <vt:i4>5</vt:i4>
      </vt:variant>
      <vt:variant>
        <vt:lpwstr/>
      </vt:variant>
      <vt:variant>
        <vt:lpwstr>Notef</vt:lpwstr>
      </vt:variant>
      <vt:variant>
        <vt:i4>589872</vt:i4>
      </vt:variant>
      <vt:variant>
        <vt:i4>288</vt:i4>
      </vt:variant>
      <vt:variant>
        <vt:i4>0</vt:i4>
      </vt:variant>
      <vt:variant>
        <vt:i4>5</vt:i4>
      </vt:variant>
      <vt:variant>
        <vt:lpwstr/>
      </vt:variant>
      <vt:variant>
        <vt:lpwstr>TheDifferentApproachesUsedForDiffEmps3_3</vt:lpwstr>
      </vt:variant>
      <vt:variant>
        <vt:i4>655386</vt:i4>
      </vt:variant>
      <vt:variant>
        <vt:i4>285</vt:i4>
      </vt:variant>
      <vt:variant>
        <vt:i4>0</vt:i4>
      </vt:variant>
      <vt:variant>
        <vt:i4>5</vt:i4>
      </vt:variant>
      <vt:variant>
        <vt:lpwstr/>
      </vt:variant>
      <vt:variant>
        <vt:lpwstr>Notej</vt:lpwstr>
      </vt:variant>
      <vt:variant>
        <vt:i4>655386</vt:i4>
      </vt:variant>
      <vt:variant>
        <vt:i4>282</vt:i4>
      </vt:variant>
      <vt:variant>
        <vt:i4>0</vt:i4>
      </vt:variant>
      <vt:variant>
        <vt:i4>5</vt:i4>
      </vt:variant>
      <vt:variant>
        <vt:lpwstr/>
      </vt:variant>
      <vt:variant>
        <vt:lpwstr>Noteh</vt:lpwstr>
      </vt:variant>
      <vt:variant>
        <vt:i4>4915223</vt:i4>
      </vt:variant>
      <vt:variant>
        <vt:i4>279</vt:i4>
      </vt:variant>
      <vt:variant>
        <vt:i4>0</vt:i4>
      </vt:variant>
      <vt:variant>
        <vt:i4>5</vt:i4>
      </vt:variant>
      <vt:variant>
        <vt:lpwstr/>
      </vt:variant>
      <vt:variant>
        <vt:lpwstr>Section5</vt:lpwstr>
      </vt:variant>
      <vt:variant>
        <vt:i4>589872</vt:i4>
      </vt:variant>
      <vt:variant>
        <vt:i4>276</vt:i4>
      </vt:variant>
      <vt:variant>
        <vt:i4>0</vt:i4>
      </vt:variant>
      <vt:variant>
        <vt:i4>5</vt:i4>
      </vt:variant>
      <vt:variant>
        <vt:lpwstr/>
      </vt:variant>
      <vt:variant>
        <vt:lpwstr>TheDifferentApproachesUsedForDiffEmps3_3</vt:lpwstr>
      </vt:variant>
      <vt:variant>
        <vt:i4>655386</vt:i4>
      </vt:variant>
      <vt:variant>
        <vt:i4>273</vt:i4>
      </vt:variant>
      <vt:variant>
        <vt:i4>0</vt:i4>
      </vt:variant>
      <vt:variant>
        <vt:i4>5</vt:i4>
      </vt:variant>
      <vt:variant>
        <vt:lpwstr/>
      </vt:variant>
      <vt:variant>
        <vt:lpwstr>Notef</vt:lpwstr>
      </vt:variant>
      <vt:variant>
        <vt:i4>589872</vt:i4>
      </vt:variant>
      <vt:variant>
        <vt:i4>270</vt:i4>
      </vt:variant>
      <vt:variant>
        <vt:i4>0</vt:i4>
      </vt:variant>
      <vt:variant>
        <vt:i4>5</vt:i4>
      </vt:variant>
      <vt:variant>
        <vt:lpwstr/>
      </vt:variant>
      <vt:variant>
        <vt:lpwstr>TheDifferentApproachesUsedForDiffEmps3_3</vt:lpwstr>
      </vt:variant>
      <vt:variant>
        <vt:i4>655386</vt:i4>
      </vt:variant>
      <vt:variant>
        <vt:i4>267</vt:i4>
      </vt:variant>
      <vt:variant>
        <vt:i4>0</vt:i4>
      </vt:variant>
      <vt:variant>
        <vt:i4>5</vt:i4>
      </vt:variant>
      <vt:variant>
        <vt:lpwstr/>
      </vt:variant>
      <vt:variant>
        <vt:lpwstr>Noteb</vt:lpwstr>
      </vt:variant>
      <vt:variant>
        <vt:i4>983084</vt:i4>
      </vt:variant>
      <vt:variant>
        <vt:i4>264</vt:i4>
      </vt:variant>
      <vt:variant>
        <vt:i4>0</vt:i4>
      </vt:variant>
      <vt:variant>
        <vt:i4>5</vt:i4>
      </vt:variant>
      <vt:variant>
        <vt:lpwstr/>
      </vt:variant>
      <vt:variant>
        <vt:lpwstr>EmployersWithNoRemainingActiveMembers3_9</vt:lpwstr>
      </vt:variant>
      <vt:variant>
        <vt:i4>4915223</vt:i4>
      </vt:variant>
      <vt:variant>
        <vt:i4>261</vt:i4>
      </vt:variant>
      <vt:variant>
        <vt:i4>0</vt:i4>
      </vt:variant>
      <vt:variant>
        <vt:i4>5</vt:i4>
      </vt:variant>
      <vt:variant>
        <vt:lpwstr/>
      </vt:variant>
      <vt:variant>
        <vt:lpwstr>Section5</vt:lpwstr>
      </vt:variant>
      <vt:variant>
        <vt:i4>4915223</vt:i4>
      </vt:variant>
      <vt:variant>
        <vt:i4>258</vt:i4>
      </vt:variant>
      <vt:variant>
        <vt:i4>0</vt:i4>
      </vt:variant>
      <vt:variant>
        <vt:i4>5</vt:i4>
      </vt:variant>
      <vt:variant>
        <vt:lpwstr/>
      </vt:variant>
      <vt:variant>
        <vt:lpwstr>Section5</vt:lpwstr>
      </vt:variant>
      <vt:variant>
        <vt:i4>983122</vt:i4>
      </vt:variant>
      <vt:variant>
        <vt:i4>255</vt:i4>
      </vt:variant>
      <vt:variant>
        <vt:i4>0</vt:i4>
      </vt:variant>
      <vt:variant>
        <vt:i4>5</vt:i4>
      </vt:variant>
      <vt:variant>
        <vt:lpwstr>http://www.camden.gov.uk/ccm/content/council-and-democracy/publications-and-finances/pensions/pension-fund-investment.en</vt:lpwstr>
      </vt:variant>
      <vt:variant>
        <vt:lpwstr/>
      </vt:variant>
      <vt:variant>
        <vt:i4>983122</vt:i4>
      </vt:variant>
      <vt:variant>
        <vt:i4>252</vt:i4>
      </vt:variant>
      <vt:variant>
        <vt:i4>0</vt:i4>
      </vt:variant>
      <vt:variant>
        <vt:i4>5</vt:i4>
      </vt:variant>
      <vt:variant>
        <vt:lpwstr>http://www.camden.gov.uk/ccm/content/council-and-democracy/publications-and-finances/pensions/pension-fund-investment.en</vt:lpwstr>
      </vt:variant>
      <vt:variant>
        <vt:lpwstr/>
      </vt:variant>
      <vt:variant>
        <vt:i4>4980746</vt:i4>
      </vt:variant>
      <vt:variant>
        <vt:i4>249</vt:i4>
      </vt:variant>
      <vt:variant>
        <vt:i4>0</vt:i4>
      </vt:variant>
      <vt:variant>
        <vt:i4>5</vt:i4>
      </vt:variant>
      <vt:variant>
        <vt:lpwstr/>
      </vt:variant>
      <vt:variant>
        <vt:lpwstr>A1WhyDoesTheFundNeedAFSS</vt:lpwstr>
      </vt:variant>
      <vt:variant>
        <vt:i4>655386</vt:i4>
      </vt:variant>
      <vt:variant>
        <vt:i4>246</vt:i4>
      </vt:variant>
      <vt:variant>
        <vt:i4>0</vt:i4>
      </vt:variant>
      <vt:variant>
        <vt:i4>5</vt:i4>
      </vt:variant>
      <vt:variant>
        <vt:lpwstr/>
      </vt:variant>
      <vt:variant>
        <vt:lpwstr>Notej</vt:lpwstr>
      </vt:variant>
      <vt:variant>
        <vt:i4>589872</vt:i4>
      </vt:variant>
      <vt:variant>
        <vt:i4>243</vt:i4>
      </vt:variant>
      <vt:variant>
        <vt:i4>0</vt:i4>
      </vt:variant>
      <vt:variant>
        <vt:i4>5</vt:i4>
      </vt:variant>
      <vt:variant>
        <vt:lpwstr/>
      </vt:variant>
      <vt:variant>
        <vt:lpwstr>TheDifferentApproachesUsedForDiffEmps3_3</vt:lpwstr>
      </vt:variant>
      <vt:variant>
        <vt:i4>7143551</vt:i4>
      </vt:variant>
      <vt:variant>
        <vt:i4>240</vt:i4>
      </vt:variant>
      <vt:variant>
        <vt:i4>0</vt:i4>
      </vt:variant>
      <vt:variant>
        <vt:i4>5</vt:i4>
      </vt:variant>
      <vt:variant>
        <vt:lpwstr/>
      </vt:variant>
      <vt:variant>
        <vt:lpwstr>externalillhealthinsurance</vt:lpwstr>
      </vt:variant>
      <vt:variant>
        <vt:i4>7143551</vt:i4>
      </vt:variant>
      <vt:variant>
        <vt:i4>237</vt:i4>
      </vt:variant>
      <vt:variant>
        <vt:i4>0</vt:i4>
      </vt:variant>
      <vt:variant>
        <vt:i4>5</vt:i4>
      </vt:variant>
      <vt:variant>
        <vt:lpwstr/>
      </vt:variant>
      <vt:variant>
        <vt:lpwstr>externalillhealthinsurance</vt:lpwstr>
      </vt:variant>
      <vt:variant>
        <vt:i4>589846</vt:i4>
      </vt:variant>
      <vt:variant>
        <vt:i4>234</vt:i4>
      </vt:variant>
      <vt:variant>
        <vt:i4>0</vt:i4>
      </vt:variant>
      <vt:variant>
        <vt:i4>5</vt:i4>
      </vt:variant>
      <vt:variant>
        <vt:lpwstr/>
      </vt:variant>
      <vt:variant>
        <vt:lpwstr>AppendixE</vt:lpwstr>
      </vt:variant>
      <vt:variant>
        <vt:i4>655386</vt:i4>
      </vt:variant>
      <vt:variant>
        <vt:i4>228</vt:i4>
      </vt:variant>
      <vt:variant>
        <vt:i4>0</vt:i4>
      </vt:variant>
      <vt:variant>
        <vt:i4>5</vt:i4>
      </vt:variant>
      <vt:variant>
        <vt:lpwstr/>
      </vt:variant>
      <vt:variant>
        <vt:lpwstr>Notej</vt:lpwstr>
      </vt:variant>
      <vt:variant>
        <vt:i4>655386</vt:i4>
      </vt:variant>
      <vt:variant>
        <vt:i4>225</vt:i4>
      </vt:variant>
      <vt:variant>
        <vt:i4>0</vt:i4>
      </vt:variant>
      <vt:variant>
        <vt:i4>5</vt:i4>
      </vt:variant>
      <vt:variant>
        <vt:lpwstr/>
      </vt:variant>
      <vt:variant>
        <vt:lpwstr>Notei</vt:lpwstr>
      </vt:variant>
      <vt:variant>
        <vt:i4>589872</vt:i4>
      </vt:variant>
      <vt:variant>
        <vt:i4>222</vt:i4>
      </vt:variant>
      <vt:variant>
        <vt:i4>0</vt:i4>
      </vt:variant>
      <vt:variant>
        <vt:i4>5</vt:i4>
      </vt:variant>
      <vt:variant>
        <vt:lpwstr/>
      </vt:variant>
      <vt:variant>
        <vt:lpwstr>TheDifferentApproachesUsedForDiffEmps3_3</vt:lpwstr>
      </vt:variant>
      <vt:variant>
        <vt:i4>589846</vt:i4>
      </vt:variant>
      <vt:variant>
        <vt:i4>219</vt:i4>
      </vt:variant>
      <vt:variant>
        <vt:i4>0</vt:i4>
      </vt:variant>
      <vt:variant>
        <vt:i4>5</vt:i4>
      </vt:variant>
      <vt:variant>
        <vt:lpwstr/>
      </vt:variant>
      <vt:variant>
        <vt:lpwstr>AppendixD</vt:lpwstr>
      </vt:variant>
      <vt:variant>
        <vt:i4>4849687</vt:i4>
      </vt:variant>
      <vt:variant>
        <vt:i4>216</vt:i4>
      </vt:variant>
      <vt:variant>
        <vt:i4>0</vt:i4>
      </vt:variant>
      <vt:variant>
        <vt:i4>5</vt:i4>
      </vt:variant>
      <vt:variant>
        <vt:lpwstr/>
      </vt:variant>
      <vt:variant>
        <vt:lpwstr>Section4</vt:lpwstr>
      </vt:variant>
      <vt:variant>
        <vt:i4>655386</vt:i4>
      </vt:variant>
      <vt:variant>
        <vt:i4>213</vt:i4>
      </vt:variant>
      <vt:variant>
        <vt:i4>0</vt:i4>
      </vt:variant>
      <vt:variant>
        <vt:i4>5</vt:i4>
      </vt:variant>
      <vt:variant>
        <vt:lpwstr/>
      </vt:variant>
      <vt:variant>
        <vt:lpwstr>Notei</vt:lpwstr>
      </vt:variant>
      <vt:variant>
        <vt:i4>655386</vt:i4>
      </vt:variant>
      <vt:variant>
        <vt:i4>210</vt:i4>
      </vt:variant>
      <vt:variant>
        <vt:i4>0</vt:i4>
      </vt:variant>
      <vt:variant>
        <vt:i4>5</vt:i4>
      </vt:variant>
      <vt:variant>
        <vt:lpwstr/>
      </vt:variant>
      <vt:variant>
        <vt:lpwstr>Notej</vt:lpwstr>
      </vt:variant>
      <vt:variant>
        <vt:i4>655386</vt:i4>
      </vt:variant>
      <vt:variant>
        <vt:i4>207</vt:i4>
      </vt:variant>
      <vt:variant>
        <vt:i4>0</vt:i4>
      </vt:variant>
      <vt:variant>
        <vt:i4>5</vt:i4>
      </vt:variant>
      <vt:variant>
        <vt:lpwstr/>
      </vt:variant>
      <vt:variant>
        <vt:lpwstr>Notej</vt:lpwstr>
      </vt:variant>
      <vt:variant>
        <vt:i4>655386</vt:i4>
      </vt:variant>
      <vt:variant>
        <vt:i4>204</vt:i4>
      </vt:variant>
      <vt:variant>
        <vt:i4>0</vt:i4>
      </vt:variant>
      <vt:variant>
        <vt:i4>5</vt:i4>
      </vt:variant>
      <vt:variant>
        <vt:lpwstr/>
      </vt:variant>
      <vt:variant>
        <vt:lpwstr>Notei</vt:lpwstr>
      </vt:variant>
      <vt:variant>
        <vt:i4>655386</vt:i4>
      </vt:variant>
      <vt:variant>
        <vt:i4>201</vt:i4>
      </vt:variant>
      <vt:variant>
        <vt:i4>0</vt:i4>
      </vt:variant>
      <vt:variant>
        <vt:i4>5</vt:i4>
      </vt:variant>
      <vt:variant>
        <vt:lpwstr/>
      </vt:variant>
      <vt:variant>
        <vt:lpwstr>Noteh</vt:lpwstr>
      </vt:variant>
      <vt:variant>
        <vt:i4>655386</vt:i4>
      </vt:variant>
      <vt:variant>
        <vt:i4>198</vt:i4>
      </vt:variant>
      <vt:variant>
        <vt:i4>0</vt:i4>
      </vt:variant>
      <vt:variant>
        <vt:i4>5</vt:i4>
      </vt:variant>
      <vt:variant>
        <vt:lpwstr/>
      </vt:variant>
      <vt:variant>
        <vt:lpwstr>Noteh</vt:lpwstr>
      </vt:variant>
      <vt:variant>
        <vt:i4>655386</vt:i4>
      </vt:variant>
      <vt:variant>
        <vt:i4>195</vt:i4>
      </vt:variant>
      <vt:variant>
        <vt:i4>0</vt:i4>
      </vt:variant>
      <vt:variant>
        <vt:i4>5</vt:i4>
      </vt:variant>
      <vt:variant>
        <vt:lpwstr/>
      </vt:variant>
      <vt:variant>
        <vt:lpwstr>Noteg</vt:lpwstr>
      </vt:variant>
      <vt:variant>
        <vt:i4>655386</vt:i4>
      </vt:variant>
      <vt:variant>
        <vt:i4>192</vt:i4>
      </vt:variant>
      <vt:variant>
        <vt:i4>0</vt:i4>
      </vt:variant>
      <vt:variant>
        <vt:i4>5</vt:i4>
      </vt:variant>
      <vt:variant>
        <vt:lpwstr/>
      </vt:variant>
      <vt:variant>
        <vt:lpwstr>Notef</vt:lpwstr>
      </vt:variant>
      <vt:variant>
        <vt:i4>655386</vt:i4>
      </vt:variant>
      <vt:variant>
        <vt:i4>189</vt:i4>
      </vt:variant>
      <vt:variant>
        <vt:i4>0</vt:i4>
      </vt:variant>
      <vt:variant>
        <vt:i4>5</vt:i4>
      </vt:variant>
      <vt:variant>
        <vt:lpwstr/>
      </vt:variant>
      <vt:variant>
        <vt:lpwstr>Notee</vt:lpwstr>
      </vt:variant>
      <vt:variant>
        <vt:i4>655386</vt:i4>
      </vt:variant>
      <vt:variant>
        <vt:i4>186</vt:i4>
      </vt:variant>
      <vt:variant>
        <vt:i4>0</vt:i4>
      </vt:variant>
      <vt:variant>
        <vt:i4>5</vt:i4>
      </vt:variant>
      <vt:variant>
        <vt:lpwstr/>
      </vt:variant>
      <vt:variant>
        <vt:lpwstr>Noted</vt:lpwstr>
      </vt:variant>
      <vt:variant>
        <vt:i4>655386</vt:i4>
      </vt:variant>
      <vt:variant>
        <vt:i4>183</vt:i4>
      </vt:variant>
      <vt:variant>
        <vt:i4>0</vt:i4>
      </vt:variant>
      <vt:variant>
        <vt:i4>5</vt:i4>
      </vt:variant>
      <vt:variant>
        <vt:lpwstr/>
      </vt:variant>
      <vt:variant>
        <vt:lpwstr>Notec</vt:lpwstr>
      </vt:variant>
      <vt:variant>
        <vt:i4>655386</vt:i4>
      </vt:variant>
      <vt:variant>
        <vt:i4>180</vt:i4>
      </vt:variant>
      <vt:variant>
        <vt:i4>0</vt:i4>
      </vt:variant>
      <vt:variant>
        <vt:i4>5</vt:i4>
      </vt:variant>
      <vt:variant>
        <vt:lpwstr/>
      </vt:variant>
      <vt:variant>
        <vt:lpwstr>Noteb</vt:lpwstr>
      </vt:variant>
      <vt:variant>
        <vt:i4>589846</vt:i4>
      </vt:variant>
      <vt:variant>
        <vt:i4>177</vt:i4>
      </vt:variant>
      <vt:variant>
        <vt:i4>0</vt:i4>
      </vt:variant>
      <vt:variant>
        <vt:i4>5</vt:i4>
      </vt:variant>
      <vt:variant>
        <vt:lpwstr/>
      </vt:variant>
      <vt:variant>
        <vt:lpwstr>AppendixD</vt:lpwstr>
      </vt:variant>
      <vt:variant>
        <vt:i4>589846</vt:i4>
      </vt:variant>
      <vt:variant>
        <vt:i4>174</vt:i4>
      </vt:variant>
      <vt:variant>
        <vt:i4>0</vt:i4>
      </vt:variant>
      <vt:variant>
        <vt:i4>5</vt:i4>
      </vt:variant>
      <vt:variant>
        <vt:lpwstr/>
      </vt:variant>
      <vt:variant>
        <vt:lpwstr>AppendixE</vt:lpwstr>
      </vt:variant>
      <vt:variant>
        <vt:i4>655386</vt:i4>
      </vt:variant>
      <vt:variant>
        <vt:i4>171</vt:i4>
      </vt:variant>
      <vt:variant>
        <vt:i4>0</vt:i4>
      </vt:variant>
      <vt:variant>
        <vt:i4>5</vt:i4>
      </vt:variant>
      <vt:variant>
        <vt:lpwstr/>
      </vt:variant>
      <vt:variant>
        <vt:lpwstr>Notea</vt:lpwstr>
      </vt:variant>
      <vt:variant>
        <vt:i4>589846</vt:i4>
      </vt:variant>
      <vt:variant>
        <vt:i4>168</vt:i4>
      </vt:variant>
      <vt:variant>
        <vt:i4>0</vt:i4>
      </vt:variant>
      <vt:variant>
        <vt:i4>5</vt:i4>
      </vt:variant>
      <vt:variant>
        <vt:lpwstr/>
      </vt:variant>
      <vt:variant>
        <vt:lpwstr>AppendixE</vt:lpwstr>
      </vt:variant>
      <vt:variant>
        <vt:i4>6291536</vt:i4>
      </vt:variant>
      <vt:variant>
        <vt:i4>165</vt:i4>
      </vt:variant>
      <vt:variant>
        <vt:i4>0</vt:i4>
      </vt:variant>
      <vt:variant>
        <vt:i4>5</vt:i4>
      </vt:variant>
      <vt:variant>
        <vt:lpwstr/>
      </vt:variant>
      <vt:variant>
        <vt:lpwstr>PooledContributions3_4</vt:lpwstr>
      </vt:variant>
      <vt:variant>
        <vt:i4>589872</vt:i4>
      </vt:variant>
      <vt:variant>
        <vt:i4>162</vt:i4>
      </vt:variant>
      <vt:variant>
        <vt:i4>0</vt:i4>
      </vt:variant>
      <vt:variant>
        <vt:i4>5</vt:i4>
      </vt:variant>
      <vt:variant>
        <vt:lpwstr/>
      </vt:variant>
      <vt:variant>
        <vt:lpwstr>TheDifferentApproachesUsedForDiffEmps3_3</vt:lpwstr>
      </vt:variant>
      <vt:variant>
        <vt:i4>5439566</vt:i4>
      </vt:variant>
      <vt:variant>
        <vt:i4>159</vt:i4>
      </vt:variant>
      <vt:variant>
        <vt:i4>0</vt:i4>
      </vt:variant>
      <vt:variant>
        <vt:i4>5</vt:i4>
      </vt:variant>
      <vt:variant>
        <vt:lpwstr>https://www.gov.uk/government/consultations/local-government-pension-scheme-changes-to-the-local-valuation-cycle-and-management-of-employer-risk</vt:lpwstr>
      </vt:variant>
      <vt:variant>
        <vt:lpwstr/>
      </vt:variant>
      <vt:variant>
        <vt:i4>2424857</vt:i4>
      </vt:variant>
      <vt:variant>
        <vt:i4>156</vt:i4>
      </vt:variant>
      <vt:variant>
        <vt:i4>0</vt:i4>
      </vt:variant>
      <vt:variant>
        <vt:i4>5</vt:i4>
      </vt:variant>
      <vt:variant>
        <vt:lpwstr>http://lgpsboard.org/images/Other/Advice_from_the_SAB_on_McCloud_May_2019.pdf</vt:lpwstr>
      </vt:variant>
      <vt:variant>
        <vt:lpwstr/>
      </vt:variant>
      <vt:variant>
        <vt:i4>589846</vt:i4>
      </vt:variant>
      <vt:variant>
        <vt:i4>153</vt:i4>
      </vt:variant>
      <vt:variant>
        <vt:i4>0</vt:i4>
      </vt:variant>
      <vt:variant>
        <vt:i4>5</vt:i4>
      </vt:variant>
      <vt:variant>
        <vt:lpwstr/>
      </vt:variant>
      <vt:variant>
        <vt:lpwstr>AppendixA</vt:lpwstr>
      </vt:variant>
      <vt:variant>
        <vt:i4>655386</vt:i4>
      </vt:variant>
      <vt:variant>
        <vt:i4>150</vt:i4>
      </vt:variant>
      <vt:variant>
        <vt:i4>0</vt:i4>
      </vt:variant>
      <vt:variant>
        <vt:i4>5</vt:i4>
      </vt:variant>
      <vt:variant>
        <vt:lpwstr/>
      </vt:variant>
      <vt:variant>
        <vt:lpwstr>Noteb</vt:lpwstr>
      </vt:variant>
      <vt:variant>
        <vt:i4>8126551</vt:i4>
      </vt:variant>
      <vt:variant>
        <vt:i4>147</vt:i4>
      </vt:variant>
      <vt:variant>
        <vt:i4>0</vt:i4>
      </vt:variant>
      <vt:variant>
        <vt:i4>5</vt:i4>
      </vt:variant>
      <vt:variant>
        <vt:lpwstr/>
      </vt:variant>
      <vt:variant>
        <vt:lpwstr>GeneralComments3_1</vt:lpwstr>
      </vt:variant>
      <vt:variant>
        <vt:i4>1507418</vt:i4>
      </vt:variant>
      <vt:variant>
        <vt:i4>144</vt:i4>
      </vt:variant>
      <vt:variant>
        <vt:i4>0</vt:i4>
      </vt:variant>
      <vt:variant>
        <vt:i4>5</vt:i4>
      </vt:variant>
      <vt:variant>
        <vt:lpwstr/>
      </vt:variant>
      <vt:variant>
        <vt:lpwstr>D5How_is_each_employers_asset_share_cal</vt:lpwstr>
      </vt:variant>
      <vt:variant>
        <vt:i4>589846</vt:i4>
      </vt:variant>
      <vt:variant>
        <vt:i4>141</vt:i4>
      </vt:variant>
      <vt:variant>
        <vt:i4>0</vt:i4>
      </vt:variant>
      <vt:variant>
        <vt:i4>5</vt:i4>
      </vt:variant>
      <vt:variant>
        <vt:lpwstr/>
      </vt:variant>
      <vt:variant>
        <vt:lpwstr>AppendixD</vt:lpwstr>
      </vt:variant>
      <vt:variant>
        <vt:i4>7143551</vt:i4>
      </vt:variant>
      <vt:variant>
        <vt:i4>138</vt:i4>
      </vt:variant>
      <vt:variant>
        <vt:i4>0</vt:i4>
      </vt:variant>
      <vt:variant>
        <vt:i4>5</vt:i4>
      </vt:variant>
      <vt:variant>
        <vt:lpwstr/>
      </vt:variant>
      <vt:variant>
        <vt:lpwstr>externalillhealthinsurance</vt:lpwstr>
      </vt:variant>
      <vt:variant>
        <vt:i4>1835022</vt:i4>
      </vt:variant>
      <vt:variant>
        <vt:i4>135</vt:i4>
      </vt:variant>
      <vt:variant>
        <vt:i4>0</vt:i4>
      </vt:variant>
      <vt:variant>
        <vt:i4>5</vt:i4>
      </vt:variant>
      <vt:variant>
        <vt:lpwstr/>
      </vt:variant>
      <vt:variant>
        <vt:lpwstr>illhealthearlyretirementcosts</vt:lpwstr>
      </vt:variant>
      <vt:variant>
        <vt:i4>8192076</vt:i4>
      </vt:variant>
      <vt:variant>
        <vt:i4>132</vt:i4>
      </vt:variant>
      <vt:variant>
        <vt:i4>0</vt:i4>
      </vt:variant>
      <vt:variant>
        <vt:i4>5</vt:i4>
      </vt:variant>
      <vt:variant>
        <vt:lpwstr/>
      </vt:variant>
      <vt:variant>
        <vt:lpwstr>NonIllHealthEarlyRetirmentCosts3_6</vt:lpwstr>
      </vt:variant>
      <vt:variant>
        <vt:i4>6291536</vt:i4>
      </vt:variant>
      <vt:variant>
        <vt:i4>129</vt:i4>
      </vt:variant>
      <vt:variant>
        <vt:i4>0</vt:i4>
      </vt:variant>
      <vt:variant>
        <vt:i4>5</vt:i4>
      </vt:variant>
      <vt:variant>
        <vt:lpwstr/>
      </vt:variant>
      <vt:variant>
        <vt:lpwstr>PooledContributions3_4</vt:lpwstr>
      </vt:variant>
      <vt:variant>
        <vt:i4>589846</vt:i4>
      </vt:variant>
      <vt:variant>
        <vt:i4>126</vt:i4>
      </vt:variant>
      <vt:variant>
        <vt:i4>0</vt:i4>
      </vt:variant>
      <vt:variant>
        <vt:i4>5</vt:i4>
      </vt:variant>
      <vt:variant>
        <vt:lpwstr/>
      </vt:variant>
      <vt:variant>
        <vt:lpwstr>AppendixD</vt:lpwstr>
      </vt:variant>
      <vt:variant>
        <vt:i4>5046295</vt:i4>
      </vt:variant>
      <vt:variant>
        <vt:i4>123</vt:i4>
      </vt:variant>
      <vt:variant>
        <vt:i4>0</vt:i4>
      </vt:variant>
      <vt:variant>
        <vt:i4>5</vt:i4>
      </vt:variant>
      <vt:variant>
        <vt:lpwstr/>
      </vt:variant>
      <vt:variant>
        <vt:lpwstr>Section3</vt:lpwstr>
      </vt:variant>
      <vt:variant>
        <vt:i4>589846</vt:i4>
      </vt:variant>
      <vt:variant>
        <vt:i4>120</vt:i4>
      </vt:variant>
      <vt:variant>
        <vt:i4>0</vt:i4>
      </vt:variant>
      <vt:variant>
        <vt:i4>5</vt:i4>
      </vt:variant>
      <vt:variant>
        <vt:lpwstr/>
      </vt:variant>
      <vt:variant>
        <vt:lpwstr>AppendixD</vt:lpwstr>
      </vt:variant>
      <vt:variant>
        <vt:i4>655386</vt:i4>
      </vt:variant>
      <vt:variant>
        <vt:i4>117</vt:i4>
      </vt:variant>
      <vt:variant>
        <vt:i4>0</vt:i4>
      </vt:variant>
      <vt:variant>
        <vt:i4>5</vt:i4>
      </vt:variant>
      <vt:variant>
        <vt:lpwstr/>
      </vt:variant>
      <vt:variant>
        <vt:lpwstr>Notee</vt:lpwstr>
      </vt:variant>
      <vt:variant>
        <vt:i4>589872</vt:i4>
      </vt:variant>
      <vt:variant>
        <vt:i4>114</vt:i4>
      </vt:variant>
      <vt:variant>
        <vt:i4>0</vt:i4>
      </vt:variant>
      <vt:variant>
        <vt:i4>5</vt:i4>
      </vt:variant>
      <vt:variant>
        <vt:lpwstr/>
      </vt:variant>
      <vt:variant>
        <vt:lpwstr>TheDifferentApproachesUsedForDiffEmps3_3</vt:lpwstr>
      </vt:variant>
      <vt:variant>
        <vt:i4>1966099</vt:i4>
      </vt:variant>
      <vt:variant>
        <vt:i4>111</vt:i4>
      </vt:variant>
      <vt:variant>
        <vt:i4>0</vt:i4>
      </vt:variant>
      <vt:variant>
        <vt:i4>5</vt:i4>
      </vt:variant>
      <vt:variant>
        <vt:lpwstr/>
      </vt:variant>
      <vt:variant>
        <vt:lpwstr>whatdifferenttypesof</vt:lpwstr>
      </vt:variant>
      <vt:variant>
        <vt:i4>655386</vt:i4>
      </vt:variant>
      <vt:variant>
        <vt:i4>108</vt:i4>
      </vt:variant>
      <vt:variant>
        <vt:i4>0</vt:i4>
      </vt:variant>
      <vt:variant>
        <vt:i4>5</vt:i4>
      </vt:variant>
      <vt:variant>
        <vt:lpwstr/>
      </vt:variant>
      <vt:variant>
        <vt:lpwstr>Notec</vt:lpwstr>
      </vt:variant>
      <vt:variant>
        <vt:i4>589872</vt:i4>
      </vt:variant>
      <vt:variant>
        <vt:i4>105</vt:i4>
      </vt:variant>
      <vt:variant>
        <vt:i4>0</vt:i4>
      </vt:variant>
      <vt:variant>
        <vt:i4>5</vt:i4>
      </vt:variant>
      <vt:variant>
        <vt:lpwstr/>
      </vt:variant>
      <vt:variant>
        <vt:lpwstr>TheDifferentApproachesUsedForDiffEmps3_3</vt:lpwstr>
      </vt:variant>
      <vt:variant>
        <vt:i4>589846</vt:i4>
      </vt:variant>
      <vt:variant>
        <vt:i4>102</vt:i4>
      </vt:variant>
      <vt:variant>
        <vt:i4>0</vt:i4>
      </vt:variant>
      <vt:variant>
        <vt:i4>5</vt:i4>
      </vt:variant>
      <vt:variant>
        <vt:lpwstr/>
      </vt:variant>
      <vt:variant>
        <vt:lpwstr>AppendixE</vt:lpwstr>
      </vt:variant>
      <vt:variant>
        <vt:i4>589846</vt:i4>
      </vt:variant>
      <vt:variant>
        <vt:i4>99</vt:i4>
      </vt:variant>
      <vt:variant>
        <vt:i4>0</vt:i4>
      </vt:variant>
      <vt:variant>
        <vt:i4>5</vt:i4>
      </vt:variant>
      <vt:variant>
        <vt:lpwstr/>
      </vt:variant>
      <vt:variant>
        <vt:lpwstr>AppendixD</vt:lpwstr>
      </vt:variant>
      <vt:variant>
        <vt:i4>6881368</vt:i4>
      </vt:variant>
      <vt:variant>
        <vt:i4>96</vt:i4>
      </vt:variant>
      <vt:variant>
        <vt:i4>0</vt:i4>
      </vt:variant>
      <vt:variant>
        <vt:i4>5</vt:i4>
      </vt:variant>
      <vt:variant>
        <vt:lpwstr>mailto:Nigel.Mascarenhas@camden.gov.uk</vt:lpwstr>
      </vt:variant>
      <vt:variant>
        <vt:lpwstr/>
      </vt:variant>
      <vt:variant>
        <vt:i4>589846</vt:i4>
      </vt:variant>
      <vt:variant>
        <vt:i4>93</vt:i4>
      </vt:variant>
      <vt:variant>
        <vt:i4>0</vt:i4>
      </vt:variant>
      <vt:variant>
        <vt:i4>5</vt:i4>
      </vt:variant>
      <vt:variant>
        <vt:lpwstr/>
      </vt:variant>
      <vt:variant>
        <vt:lpwstr>AppendixF</vt:lpwstr>
      </vt:variant>
      <vt:variant>
        <vt:i4>589846</vt:i4>
      </vt:variant>
      <vt:variant>
        <vt:i4>90</vt:i4>
      </vt:variant>
      <vt:variant>
        <vt:i4>0</vt:i4>
      </vt:variant>
      <vt:variant>
        <vt:i4>5</vt:i4>
      </vt:variant>
      <vt:variant>
        <vt:lpwstr/>
      </vt:variant>
      <vt:variant>
        <vt:lpwstr>AppendixA</vt:lpwstr>
      </vt:variant>
      <vt:variant>
        <vt:i4>4849687</vt:i4>
      </vt:variant>
      <vt:variant>
        <vt:i4>87</vt:i4>
      </vt:variant>
      <vt:variant>
        <vt:i4>0</vt:i4>
      </vt:variant>
      <vt:variant>
        <vt:i4>5</vt:i4>
      </vt:variant>
      <vt:variant>
        <vt:lpwstr/>
      </vt:variant>
      <vt:variant>
        <vt:lpwstr>Section4</vt:lpwstr>
      </vt:variant>
      <vt:variant>
        <vt:i4>5046295</vt:i4>
      </vt:variant>
      <vt:variant>
        <vt:i4>84</vt:i4>
      </vt:variant>
      <vt:variant>
        <vt:i4>0</vt:i4>
      </vt:variant>
      <vt:variant>
        <vt:i4>5</vt:i4>
      </vt:variant>
      <vt:variant>
        <vt:lpwstr/>
      </vt:variant>
      <vt:variant>
        <vt:lpwstr>Section3</vt:lpwstr>
      </vt:variant>
      <vt:variant>
        <vt:i4>4980759</vt:i4>
      </vt:variant>
      <vt:variant>
        <vt:i4>81</vt:i4>
      </vt:variant>
      <vt:variant>
        <vt:i4>0</vt:i4>
      </vt:variant>
      <vt:variant>
        <vt:i4>5</vt:i4>
      </vt:variant>
      <vt:variant>
        <vt:lpwstr/>
      </vt:variant>
      <vt:variant>
        <vt:lpwstr>Section2</vt:lpwstr>
      </vt:variant>
      <vt:variant>
        <vt:i4>4849687</vt:i4>
      </vt:variant>
      <vt:variant>
        <vt:i4>78</vt:i4>
      </vt:variant>
      <vt:variant>
        <vt:i4>0</vt:i4>
      </vt:variant>
      <vt:variant>
        <vt:i4>5</vt:i4>
      </vt:variant>
      <vt:variant>
        <vt:lpwstr/>
      </vt:variant>
      <vt:variant>
        <vt:lpwstr>Section4</vt:lpwstr>
      </vt:variant>
      <vt:variant>
        <vt:i4>589846</vt:i4>
      </vt:variant>
      <vt:variant>
        <vt:i4>75</vt:i4>
      </vt:variant>
      <vt:variant>
        <vt:i4>0</vt:i4>
      </vt:variant>
      <vt:variant>
        <vt:i4>5</vt:i4>
      </vt:variant>
      <vt:variant>
        <vt:lpwstr/>
      </vt:variant>
      <vt:variant>
        <vt:lpwstr>AppendixA</vt:lpwstr>
      </vt:variant>
      <vt:variant>
        <vt:i4>589846</vt:i4>
      </vt:variant>
      <vt:variant>
        <vt:i4>72</vt:i4>
      </vt:variant>
      <vt:variant>
        <vt:i4>0</vt:i4>
      </vt:variant>
      <vt:variant>
        <vt:i4>5</vt:i4>
      </vt:variant>
      <vt:variant>
        <vt:lpwstr/>
      </vt:variant>
      <vt:variant>
        <vt:lpwstr>AppendixB</vt:lpwstr>
      </vt:variant>
      <vt:variant>
        <vt:i4>2031665</vt:i4>
      </vt:variant>
      <vt:variant>
        <vt:i4>65</vt:i4>
      </vt:variant>
      <vt:variant>
        <vt:i4>0</vt:i4>
      </vt:variant>
      <vt:variant>
        <vt:i4>5</vt:i4>
      </vt:variant>
      <vt:variant>
        <vt:lpwstr/>
      </vt:variant>
      <vt:variant>
        <vt:lpwstr>_Toc357155097</vt:lpwstr>
      </vt:variant>
      <vt:variant>
        <vt:i4>2031665</vt:i4>
      </vt:variant>
      <vt:variant>
        <vt:i4>59</vt:i4>
      </vt:variant>
      <vt:variant>
        <vt:i4>0</vt:i4>
      </vt:variant>
      <vt:variant>
        <vt:i4>5</vt:i4>
      </vt:variant>
      <vt:variant>
        <vt:lpwstr/>
      </vt:variant>
      <vt:variant>
        <vt:lpwstr>_Toc357155096</vt:lpwstr>
      </vt:variant>
      <vt:variant>
        <vt:i4>2031665</vt:i4>
      </vt:variant>
      <vt:variant>
        <vt:i4>53</vt:i4>
      </vt:variant>
      <vt:variant>
        <vt:i4>0</vt:i4>
      </vt:variant>
      <vt:variant>
        <vt:i4>5</vt:i4>
      </vt:variant>
      <vt:variant>
        <vt:lpwstr/>
      </vt:variant>
      <vt:variant>
        <vt:lpwstr>_Toc357155095</vt:lpwstr>
      </vt:variant>
      <vt:variant>
        <vt:i4>2031665</vt:i4>
      </vt:variant>
      <vt:variant>
        <vt:i4>47</vt:i4>
      </vt:variant>
      <vt:variant>
        <vt:i4>0</vt:i4>
      </vt:variant>
      <vt:variant>
        <vt:i4>5</vt:i4>
      </vt:variant>
      <vt:variant>
        <vt:lpwstr/>
      </vt:variant>
      <vt:variant>
        <vt:lpwstr>_Toc357155094</vt:lpwstr>
      </vt:variant>
      <vt:variant>
        <vt:i4>2031665</vt:i4>
      </vt:variant>
      <vt:variant>
        <vt:i4>41</vt:i4>
      </vt:variant>
      <vt:variant>
        <vt:i4>0</vt:i4>
      </vt:variant>
      <vt:variant>
        <vt:i4>5</vt:i4>
      </vt:variant>
      <vt:variant>
        <vt:lpwstr/>
      </vt:variant>
      <vt:variant>
        <vt:lpwstr>_Toc357155093</vt:lpwstr>
      </vt:variant>
      <vt:variant>
        <vt:i4>2031665</vt:i4>
      </vt:variant>
      <vt:variant>
        <vt:i4>35</vt:i4>
      </vt:variant>
      <vt:variant>
        <vt:i4>0</vt:i4>
      </vt:variant>
      <vt:variant>
        <vt:i4>5</vt:i4>
      </vt:variant>
      <vt:variant>
        <vt:lpwstr/>
      </vt:variant>
      <vt:variant>
        <vt:lpwstr>_Toc357155092</vt:lpwstr>
      </vt:variant>
      <vt:variant>
        <vt:i4>1179703</vt:i4>
      </vt:variant>
      <vt:variant>
        <vt:i4>26</vt:i4>
      </vt:variant>
      <vt:variant>
        <vt:i4>0</vt:i4>
      </vt:variant>
      <vt:variant>
        <vt:i4>5</vt:i4>
      </vt:variant>
      <vt:variant>
        <vt:lpwstr/>
      </vt:variant>
      <vt:variant>
        <vt:lpwstr>_Toc22839044</vt:lpwstr>
      </vt:variant>
      <vt:variant>
        <vt:i4>1376311</vt:i4>
      </vt:variant>
      <vt:variant>
        <vt:i4>20</vt:i4>
      </vt:variant>
      <vt:variant>
        <vt:i4>0</vt:i4>
      </vt:variant>
      <vt:variant>
        <vt:i4>5</vt:i4>
      </vt:variant>
      <vt:variant>
        <vt:lpwstr/>
      </vt:variant>
      <vt:variant>
        <vt:lpwstr>_Toc22839043</vt:lpwstr>
      </vt:variant>
      <vt:variant>
        <vt:i4>1310775</vt:i4>
      </vt:variant>
      <vt:variant>
        <vt:i4>14</vt:i4>
      </vt:variant>
      <vt:variant>
        <vt:i4>0</vt:i4>
      </vt:variant>
      <vt:variant>
        <vt:i4>5</vt:i4>
      </vt:variant>
      <vt:variant>
        <vt:lpwstr/>
      </vt:variant>
      <vt:variant>
        <vt:lpwstr>_Toc22839042</vt:lpwstr>
      </vt:variant>
      <vt:variant>
        <vt:i4>1507383</vt:i4>
      </vt:variant>
      <vt:variant>
        <vt:i4>8</vt:i4>
      </vt:variant>
      <vt:variant>
        <vt:i4>0</vt:i4>
      </vt:variant>
      <vt:variant>
        <vt:i4>5</vt:i4>
      </vt:variant>
      <vt:variant>
        <vt:lpwstr/>
      </vt:variant>
      <vt:variant>
        <vt:lpwstr>_Toc22839041</vt:lpwstr>
      </vt:variant>
      <vt:variant>
        <vt:i4>1441847</vt:i4>
      </vt:variant>
      <vt:variant>
        <vt:i4>2</vt:i4>
      </vt:variant>
      <vt:variant>
        <vt:i4>0</vt:i4>
      </vt:variant>
      <vt:variant>
        <vt:i4>5</vt:i4>
      </vt:variant>
      <vt:variant>
        <vt:lpwstr/>
      </vt:variant>
      <vt:variant>
        <vt:lpwstr>_Toc22839040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shelders</dc:creator>
  <cp:keywords>Valuation - 2016; Valuation; Actuarial and Benefits; FSS</cp:keywords>
  <cp:lastModifiedBy>Hugh Spencer</cp:lastModifiedBy>
  <cp:revision>2</cp:revision>
  <cp:lastPrinted>2016-09-02T20:24:00Z</cp:lastPrinted>
  <dcterms:created xsi:type="dcterms:W3CDTF">2021-07-30T14:12:00Z</dcterms:created>
  <dcterms:modified xsi:type="dcterms:W3CDTF">2021-07-30T14:12:00Z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0x010100002DF33370390F4B8CCA7E282A2DD500</vt:lpwstr>
  </property>
  <property fmtid="{D5CDD505-2E9C-101B-9397-08002B2CF9AE}" pid="3" name="cimPeerReviewTypeRequired">
    <vt:lpwstr>157;#Independent peer review (IPR)|f0b0542d-b941-7777-8470-92c17de611b0</vt:lpwstr>
  </property>
  <property fmtid="{D5CDD505-2E9C-101B-9397-08002B2CF9AE}" pid="4" name="cimPractices">
    <vt:lpwstr>7;#Actuarial and Benefits|874980fa-e850-4f47-870b-7eb081362a95</vt:lpwstr>
  </property>
  <property fmtid="{D5CDD505-2E9C-101B-9397-08002B2CF9AE}" pid="5" name="TaxKeyword">
    <vt:lpwstr>34;#Valuation|d01b67a9-d26f-4b90-a981-affeed0804e1;#69;#FSS|d7850475-b889-4900-b374-74c0b2073500;#9;#Actuarial and Benefits|520c9a19-924b-4f84-820a-24c339d4b923;#35;#Valuation - 2016|56cc49e4-4043-447e-86ba-bf90de810444</vt:lpwstr>
  </property>
  <property fmtid="{D5CDD505-2E9C-101B-9397-08002B2CF9AE}" pid="6" name="cimSegment">
    <vt:lpwstr>6;#Public Sector|1fcda6c6-5b08-41e6-8c9d-4ecb77e01f16</vt:lpwstr>
  </property>
  <property fmtid="{D5CDD505-2E9C-101B-9397-08002B2CF9AE}" pid="7" name="cimPeerReviewType">
    <vt:lpwstr>157;#Independent peer review (IPR)|f0b0542d-b941-7777-8470-92c17de611b0</vt:lpwstr>
  </property>
  <property fmtid="{D5CDD505-2E9C-101B-9397-08002B2CF9AE}" pid="8" name="cimClient">
    <vt:lpwstr>4;#London Borough of Camden|bca6f868-6fd7-4ba1-aba6-bcc04b2932a6</vt:lpwstr>
  </property>
  <property fmtid="{D5CDD505-2E9C-101B-9397-08002B2CF9AE}" pid="9" name="cimSector">
    <vt:lpwstr>5;#Public - LGPS|9d10cdb8-3f68-43ce-82a9-12820c4e94f0</vt:lpwstr>
  </property>
</Properties>
</file>