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E20D0" w14:textId="77777777" w:rsidR="006A770F" w:rsidRDefault="006A770F" w:rsidP="006A770F">
      <w:pPr>
        <w:autoSpaceDE w:val="0"/>
        <w:autoSpaceDN w:val="0"/>
        <w:adjustRightInd w:val="0"/>
        <w:spacing w:after="0" w:line="240" w:lineRule="auto"/>
        <w:jc w:val="center"/>
        <w:rPr>
          <w:rFonts w:ascii="HelveticaNeue-Black" w:hAnsi="HelveticaNeue-Black" w:cs="HelveticaNeue-Black"/>
          <w:color w:val="F6A153"/>
          <w:sz w:val="51"/>
          <w:szCs w:val="51"/>
        </w:rPr>
      </w:pPr>
      <w:bookmarkStart w:id="0" w:name="_GoBack"/>
      <w:bookmarkEnd w:id="0"/>
    </w:p>
    <w:p w14:paraId="4D4CA85D" w14:textId="77777777" w:rsidR="006A770F" w:rsidRDefault="006A770F" w:rsidP="006A770F">
      <w:pPr>
        <w:autoSpaceDE w:val="0"/>
        <w:autoSpaceDN w:val="0"/>
        <w:adjustRightInd w:val="0"/>
        <w:spacing w:after="0" w:line="240" w:lineRule="auto"/>
        <w:jc w:val="center"/>
        <w:rPr>
          <w:rFonts w:ascii="HelveticaNeue-Black" w:hAnsi="HelveticaNeue-Black" w:cs="HelveticaNeue-Black"/>
          <w:color w:val="F6A153"/>
          <w:sz w:val="51"/>
          <w:szCs w:val="51"/>
        </w:rPr>
      </w:pPr>
    </w:p>
    <w:p w14:paraId="692D92F3" w14:textId="77777777" w:rsidR="006A770F" w:rsidRDefault="006A770F" w:rsidP="006A770F">
      <w:pPr>
        <w:autoSpaceDE w:val="0"/>
        <w:autoSpaceDN w:val="0"/>
        <w:adjustRightInd w:val="0"/>
        <w:spacing w:after="0" w:line="240" w:lineRule="auto"/>
        <w:jc w:val="center"/>
        <w:rPr>
          <w:rFonts w:ascii="HelveticaNeue-Black" w:hAnsi="HelveticaNeue-Black" w:cs="HelveticaNeue-Black"/>
          <w:color w:val="F6A153"/>
          <w:sz w:val="51"/>
          <w:szCs w:val="51"/>
        </w:rPr>
      </w:pPr>
    </w:p>
    <w:p w14:paraId="50F36DC3" w14:textId="2732F6AA" w:rsidR="004C4A29" w:rsidRPr="006A770F" w:rsidRDefault="004C4A29" w:rsidP="006A770F">
      <w:pPr>
        <w:autoSpaceDE w:val="0"/>
        <w:autoSpaceDN w:val="0"/>
        <w:adjustRightInd w:val="0"/>
        <w:spacing w:after="0" w:line="240" w:lineRule="auto"/>
        <w:jc w:val="center"/>
        <w:rPr>
          <w:rFonts w:ascii="HelveticaNeue-Black" w:hAnsi="HelveticaNeue-Black" w:cs="HelveticaNeue-Black"/>
          <w:color w:val="F6A153"/>
          <w:sz w:val="72"/>
          <w:szCs w:val="72"/>
        </w:rPr>
      </w:pPr>
      <w:r w:rsidRPr="006A770F">
        <w:rPr>
          <w:rFonts w:ascii="HelveticaNeue-Black" w:hAnsi="HelveticaNeue-Black" w:cs="HelveticaNeue-Black"/>
          <w:color w:val="F6A153"/>
          <w:sz w:val="72"/>
          <w:szCs w:val="72"/>
        </w:rPr>
        <w:t>Camden Safeguarding Adults Partnership Board</w:t>
      </w:r>
    </w:p>
    <w:p w14:paraId="5CD5AD74" w14:textId="77777777" w:rsidR="006A770F" w:rsidRPr="006A770F" w:rsidRDefault="006A770F" w:rsidP="006A770F">
      <w:pPr>
        <w:autoSpaceDE w:val="0"/>
        <w:autoSpaceDN w:val="0"/>
        <w:adjustRightInd w:val="0"/>
        <w:spacing w:after="0" w:line="240" w:lineRule="auto"/>
        <w:jc w:val="center"/>
        <w:rPr>
          <w:rFonts w:ascii="HelveticaNeue-Heavy" w:hAnsi="HelveticaNeue-Heavy" w:cs="HelveticaNeue-Heavy"/>
          <w:color w:val="000000"/>
          <w:sz w:val="72"/>
          <w:szCs w:val="72"/>
        </w:rPr>
      </w:pPr>
    </w:p>
    <w:p w14:paraId="13DF98E8" w14:textId="5A60F566" w:rsidR="004C4A29" w:rsidRPr="00C25D6D" w:rsidRDefault="006A770F" w:rsidP="006A770F">
      <w:pPr>
        <w:autoSpaceDE w:val="0"/>
        <w:autoSpaceDN w:val="0"/>
        <w:adjustRightInd w:val="0"/>
        <w:spacing w:after="0" w:line="240" w:lineRule="auto"/>
        <w:jc w:val="center"/>
        <w:rPr>
          <w:rFonts w:ascii="HelveticaNeue-Heavy" w:hAnsi="HelveticaNeue-Heavy" w:cs="HelveticaNeue-Heavy"/>
          <w:color w:val="000000"/>
          <w:sz w:val="48"/>
          <w:szCs w:val="48"/>
        </w:rPr>
      </w:pPr>
      <w:r w:rsidRPr="00C25D6D">
        <w:rPr>
          <w:rFonts w:ascii="HelveticaNeue-Heavy" w:hAnsi="HelveticaNeue-Heavy" w:cs="HelveticaNeue-Heavy"/>
          <w:color w:val="000000"/>
          <w:sz w:val="48"/>
          <w:szCs w:val="48"/>
        </w:rPr>
        <w:t xml:space="preserve">Safeguarding Adults Review Framework </w:t>
      </w:r>
      <w:r w:rsidR="00C25D6D" w:rsidRPr="00C25D6D">
        <w:rPr>
          <w:rFonts w:ascii="HelveticaNeue-Heavy" w:hAnsi="HelveticaNeue-Heavy" w:cs="HelveticaNeue-Heavy"/>
          <w:color w:val="000000"/>
          <w:sz w:val="48"/>
          <w:szCs w:val="48"/>
        </w:rPr>
        <w:t xml:space="preserve">– October 2019 </w:t>
      </w:r>
    </w:p>
    <w:p w14:paraId="3B3C66B7" w14:textId="77777777" w:rsidR="006A770F" w:rsidRPr="006A770F" w:rsidRDefault="006A770F" w:rsidP="006A770F">
      <w:pPr>
        <w:autoSpaceDE w:val="0"/>
        <w:autoSpaceDN w:val="0"/>
        <w:adjustRightInd w:val="0"/>
        <w:spacing w:after="0" w:line="240" w:lineRule="auto"/>
        <w:jc w:val="center"/>
        <w:rPr>
          <w:rFonts w:ascii="HelveticaNeue-Heavy" w:hAnsi="HelveticaNeue-Heavy" w:cs="HelveticaNeue-Heavy"/>
          <w:color w:val="000000"/>
          <w:sz w:val="72"/>
          <w:szCs w:val="72"/>
        </w:rPr>
      </w:pPr>
    </w:p>
    <w:p w14:paraId="7A17D539" w14:textId="2512CB4F" w:rsidR="004C4A29" w:rsidRPr="006A770F" w:rsidRDefault="004C4A29" w:rsidP="006A770F">
      <w:pPr>
        <w:jc w:val="center"/>
        <w:rPr>
          <w:rFonts w:ascii="Arial" w:hAnsi="Arial" w:cs="Arial"/>
          <w:b/>
          <w:i/>
          <w:sz w:val="16"/>
          <w:szCs w:val="72"/>
        </w:rPr>
      </w:pPr>
      <w:r w:rsidRPr="006A770F">
        <w:rPr>
          <w:rFonts w:ascii="HelveticaNeue-Light" w:hAnsi="HelveticaNeue-Light" w:cs="HelveticaNeue-Light"/>
          <w:b/>
          <w:i/>
          <w:color w:val="000000"/>
          <w:sz w:val="46"/>
          <w:szCs w:val="72"/>
        </w:rPr>
        <w:t>“Safeguarding is everybody's business”</w:t>
      </w:r>
    </w:p>
    <w:p w14:paraId="046A9BEA" w14:textId="5D0E59F5" w:rsidR="004C4A29" w:rsidRDefault="006A770F">
      <w:pPr>
        <w:rPr>
          <w:rFonts w:ascii="Arial" w:hAnsi="Arial" w:cs="Arial"/>
          <w:b/>
        </w:rPr>
      </w:pPr>
      <w:r>
        <w:rPr>
          <w:rFonts w:ascii="HelveticaNeue-Light" w:hAnsi="HelveticaNeue-Light" w:cs="HelveticaNeue-Light"/>
          <w:b/>
          <w:i/>
          <w:noProof/>
          <w:color w:val="000000"/>
          <w:sz w:val="72"/>
          <w:szCs w:val="72"/>
          <w:lang w:eastAsia="en-GB"/>
        </w:rPr>
        <w:drawing>
          <wp:anchor distT="0" distB="0" distL="114300" distR="114300" simplePos="0" relativeHeight="251658240" behindDoc="0" locked="0" layoutInCell="1" allowOverlap="1" wp14:anchorId="02F49CAE" wp14:editId="453BB05E">
            <wp:simplePos x="0" y="0"/>
            <wp:positionH relativeFrom="margin">
              <wp:posOffset>-209550</wp:posOffset>
            </wp:positionH>
            <wp:positionV relativeFrom="paragraph">
              <wp:posOffset>568960</wp:posOffset>
            </wp:positionV>
            <wp:extent cx="6076950" cy="14763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C4A29">
        <w:rPr>
          <w:rFonts w:ascii="Arial" w:hAnsi="Arial" w:cs="Arial"/>
          <w:b/>
        </w:rPr>
        <w:br w:type="page"/>
      </w:r>
    </w:p>
    <w:p w14:paraId="1EBDDFBD" w14:textId="74C2D254" w:rsidR="00581CC5" w:rsidRPr="004C4A29" w:rsidRDefault="006E03B3" w:rsidP="004C4A29">
      <w:pPr>
        <w:pStyle w:val="ListParagraph"/>
        <w:numPr>
          <w:ilvl w:val="0"/>
          <w:numId w:val="15"/>
        </w:numPr>
        <w:rPr>
          <w:rFonts w:ascii="Arial" w:hAnsi="Arial" w:cs="Arial"/>
          <w:b/>
        </w:rPr>
      </w:pPr>
      <w:r w:rsidRPr="004C4A29">
        <w:rPr>
          <w:rFonts w:ascii="Arial" w:hAnsi="Arial" w:cs="Arial"/>
          <w:b/>
        </w:rPr>
        <w:lastRenderedPageBreak/>
        <w:t>Purpose and Scope of Policy</w:t>
      </w:r>
    </w:p>
    <w:p w14:paraId="57C7356F" w14:textId="77777777" w:rsidR="002D297C" w:rsidRDefault="006E03B3">
      <w:pPr>
        <w:rPr>
          <w:rFonts w:ascii="Arial" w:hAnsi="Arial" w:cs="Arial"/>
        </w:rPr>
      </w:pPr>
      <w:r w:rsidRPr="00EA7487">
        <w:rPr>
          <w:rFonts w:ascii="Arial" w:hAnsi="Arial" w:cs="Arial"/>
        </w:rPr>
        <w:t xml:space="preserve">The purpose of this policy is to </w:t>
      </w:r>
      <w:r w:rsidR="00CC237A" w:rsidRPr="00EA7487">
        <w:rPr>
          <w:rFonts w:ascii="Arial" w:hAnsi="Arial" w:cs="Arial"/>
        </w:rPr>
        <w:t>set out</w:t>
      </w:r>
      <w:r w:rsidRPr="00EA7487">
        <w:rPr>
          <w:rFonts w:ascii="Arial" w:hAnsi="Arial" w:cs="Arial"/>
        </w:rPr>
        <w:t xml:space="preserve"> </w:t>
      </w:r>
      <w:r w:rsidR="00AF39DF" w:rsidRPr="00EA7487">
        <w:rPr>
          <w:rFonts w:ascii="Arial" w:hAnsi="Arial" w:cs="Arial"/>
        </w:rPr>
        <w:t>a</w:t>
      </w:r>
      <w:r w:rsidRPr="00EA7487">
        <w:rPr>
          <w:rFonts w:ascii="Arial" w:hAnsi="Arial" w:cs="Arial"/>
        </w:rPr>
        <w:t xml:space="preserve"> </w:t>
      </w:r>
      <w:r w:rsidR="00AF39DF" w:rsidRPr="00EA7487">
        <w:rPr>
          <w:rFonts w:ascii="Arial" w:hAnsi="Arial" w:cs="Arial"/>
        </w:rPr>
        <w:t>framework</w:t>
      </w:r>
      <w:r w:rsidRPr="00EA7487">
        <w:rPr>
          <w:rFonts w:ascii="Arial" w:hAnsi="Arial" w:cs="Arial"/>
        </w:rPr>
        <w:t xml:space="preserve"> for</w:t>
      </w:r>
      <w:r w:rsidR="001F6765" w:rsidRPr="00EA7487">
        <w:rPr>
          <w:rFonts w:ascii="Arial" w:hAnsi="Arial" w:cs="Arial"/>
        </w:rPr>
        <w:t xml:space="preserve"> commissioning</w:t>
      </w:r>
      <w:r w:rsidR="008A46BC">
        <w:rPr>
          <w:rFonts w:ascii="Arial" w:hAnsi="Arial" w:cs="Arial"/>
        </w:rPr>
        <w:t>,</w:t>
      </w:r>
      <w:r w:rsidR="001F6765" w:rsidRPr="00EA7487">
        <w:rPr>
          <w:rFonts w:ascii="Arial" w:hAnsi="Arial" w:cs="Arial"/>
        </w:rPr>
        <w:t xml:space="preserve"> </w:t>
      </w:r>
      <w:r w:rsidRPr="00EA7487">
        <w:rPr>
          <w:rFonts w:ascii="Arial" w:hAnsi="Arial" w:cs="Arial"/>
        </w:rPr>
        <w:t>undertaking a</w:t>
      </w:r>
      <w:r w:rsidR="008A46BC">
        <w:rPr>
          <w:rFonts w:ascii="Arial" w:hAnsi="Arial" w:cs="Arial"/>
        </w:rPr>
        <w:t>nd quality assuring a</w:t>
      </w:r>
      <w:r w:rsidRPr="00EA7487">
        <w:rPr>
          <w:rFonts w:ascii="Arial" w:hAnsi="Arial" w:cs="Arial"/>
        </w:rPr>
        <w:t xml:space="preserve"> Safeguarding Adults Review (SAR</w:t>
      </w:r>
      <w:r w:rsidR="002D1A08">
        <w:rPr>
          <w:rFonts w:ascii="Arial" w:hAnsi="Arial" w:cs="Arial"/>
        </w:rPr>
        <w:t xml:space="preserve"> hereafter</w:t>
      </w:r>
      <w:r w:rsidRPr="00EA7487">
        <w:rPr>
          <w:rFonts w:ascii="Arial" w:hAnsi="Arial" w:cs="Arial"/>
        </w:rPr>
        <w:t>).</w:t>
      </w:r>
      <w:r w:rsidR="00CC237A" w:rsidRPr="00EA7487">
        <w:rPr>
          <w:rFonts w:ascii="Arial" w:hAnsi="Arial" w:cs="Arial"/>
        </w:rPr>
        <w:t xml:space="preserve">  The Camden Safeguarding Adults Partnership Board</w:t>
      </w:r>
      <w:r w:rsidR="002D1A08">
        <w:rPr>
          <w:rFonts w:ascii="Arial" w:hAnsi="Arial" w:cs="Arial"/>
        </w:rPr>
        <w:t xml:space="preserve"> (SAPB hereafter)</w:t>
      </w:r>
      <w:r w:rsidRPr="00EA7487">
        <w:rPr>
          <w:rFonts w:ascii="Arial" w:hAnsi="Arial" w:cs="Arial"/>
        </w:rPr>
        <w:t xml:space="preserve"> </w:t>
      </w:r>
      <w:r w:rsidR="00762257" w:rsidRPr="00EA7487">
        <w:rPr>
          <w:rFonts w:ascii="Arial" w:hAnsi="Arial" w:cs="Arial"/>
        </w:rPr>
        <w:t xml:space="preserve">has a statutory responsibility to carry out a </w:t>
      </w:r>
      <w:r w:rsidR="002D1A08">
        <w:rPr>
          <w:rFonts w:ascii="Arial" w:hAnsi="Arial" w:cs="Arial"/>
        </w:rPr>
        <w:t>SAR</w:t>
      </w:r>
      <w:r w:rsidR="00762257" w:rsidRPr="00EA7487">
        <w:rPr>
          <w:rFonts w:ascii="Arial" w:hAnsi="Arial" w:cs="Arial"/>
        </w:rPr>
        <w:t xml:space="preserve"> in accordance with Section 44 of the Care Act 2014</w:t>
      </w:r>
      <w:r w:rsidR="00762257" w:rsidRPr="00EA7487">
        <w:rPr>
          <w:rStyle w:val="FootnoteReference"/>
          <w:rFonts w:ascii="Arial" w:hAnsi="Arial" w:cs="Arial"/>
        </w:rPr>
        <w:footnoteReference w:id="1"/>
      </w:r>
      <w:r w:rsidR="00762257" w:rsidRPr="00EA7487">
        <w:rPr>
          <w:rFonts w:ascii="Arial" w:hAnsi="Arial" w:cs="Arial"/>
        </w:rPr>
        <w:t xml:space="preserve">. </w:t>
      </w:r>
    </w:p>
    <w:p w14:paraId="457CA862" w14:textId="3A220605" w:rsidR="006E03B3" w:rsidRPr="00EA7487" w:rsidRDefault="006E03B3">
      <w:pPr>
        <w:rPr>
          <w:rFonts w:ascii="Arial" w:hAnsi="Arial" w:cs="Arial"/>
        </w:rPr>
      </w:pPr>
      <w:r w:rsidRPr="00EA7487">
        <w:rPr>
          <w:rFonts w:ascii="Arial" w:hAnsi="Arial" w:cs="Arial"/>
        </w:rPr>
        <w:t>The S</w:t>
      </w:r>
      <w:r w:rsidR="002D1A08">
        <w:rPr>
          <w:rFonts w:ascii="Arial" w:hAnsi="Arial" w:cs="Arial"/>
        </w:rPr>
        <w:t>AR</w:t>
      </w:r>
      <w:r w:rsidRPr="00EA7487">
        <w:rPr>
          <w:rFonts w:ascii="Arial" w:hAnsi="Arial" w:cs="Arial"/>
        </w:rPr>
        <w:t xml:space="preserve"> Sub-</w:t>
      </w:r>
      <w:r w:rsidR="00E058F2">
        <w:rPr>
          <w:rFonts w:ascii="Arial" w:hAnsi="Arial" w:cs="Arial"/>
        </w:rPr>
        <w:t>g</w:t>
      </w:r>
      <w:r w:rsidRPr="00EA7487">
        <w:rPr>
          <w:rFonts w:ascii="Arial" w:hAnsi="Arial" w:cs="Arial"/>
        </w:rPr>
        <w:t>roup</w:t>
      </w:r>
      <w:r w:rsidR="002D1A08">
        <w:rPr>
          <w:rFonts w:ascii="Arial" w:hAnsi="Arial" w:cs="Arial"/>
        </w:rPr>
        <w:t xml:space="preserve"> reports to</w:t>
      </w:r>
      <w:r w:rsidRPr="00EA7487">
        <w:rPr>
          <w:rFonts w:ascii="Arial" w:hAnsi="Arial" w:cs="Arial"/>
        </w:rPr>
        <w:t xml:space="preserve"> the Camden Safeguarding Adults Partnership Board (SAPB)</w:t>
      </w:r>
      <w:r w:rsidR="006A0F39">
        <w:rPr>
          <w:rFonts w:ascii="Arial" w:hAnsi="Arial" w:cs="Arial"/>
        </w:rPr>
        <w:t>.  It</w:t>
      </w:r>
      <w:r w:rsidRPr="00EA7487">
        <w:rPr>
          <w:rFonts w:ascii="Arial" w:hAnsi="Arial" w:cs="Arial"/>
        </w:rPr>
        <w:t xml:space="preserve"> is responsible for recommending the commissioning of S</w:t>
      </w:r>
      <w:r w:rsidR="002D1A08">
        <w:rPr>
          <w:rFonts w:ascii="Arial" w:hAnsi="Arial" w:cs="Arial"/>
        </w:rPr>
        <w:t>ARs</w:t>
      </w:r>
      <w:r w:rsidR="006A0F39">
        <w:rPr>
          <w:rFonts w:ascii="Arial" w:hAnsi="Arial" w:cs="Arial"/>
        </w:rPr>
        <w:t>,</w:t>
      </w:r>
      <w:r w:rsidRPr="00EA7487">
        <w:rPr>
          <w:rFonts w:ascii="Arial" w:hAnsi="Arial" w:cs="Arial"/>
        </w:rPr>
        <w:t xml:space="preserve"> managing the process and assuring the S</w:t>
      </w:r>
      <w:r w:rsidR="002D1A08">
        <w:rPr>
          <w:rFonts w:ascii="Arial" w:hAnsi="Arial" w:cs="Arial"/>
        </w:rPr>
        <w:t>A</w:t>
      </w:r>
      <w:r w:rsidRPr="00EA7487">
        <w:rPr>
          <w:rFonts w:ascii="Arial" w:hAnsi="Arial" w:cs="Arial"/>
        </w:rPr>
        <w:t>PB that recommendations and actions have been addressed by the multi-agency partnership and individual agencies.</w:t>
      </w:r>
    </w:p>
    <w:p w14:paraId="5A548274" w14:textId="5FD5274A" w:rsidR="006E03B3" w:rsidRPr="00EA7487" w:rsidRDefault="006E03B3" w:rsidP="006E03B3">
      <w:pPr>
        <w:rPr>
          <w:rFonts w:ascii="Arial" w:hAnsi="Arial" w:cs="Arial"/>
        </w:rPr>
      </w:pPr>
      <w:r w:rsidRPr="00EA7487">
        <w:rPr>
          <w:rFonts w:ascii="Arial" w:hAnsi="Arial" w:cs="Arial"/>
        </w:rPr>
        <w:t xml:space="preserve">The work of the SAR </w:t>
      </w:r>
      <w:r w:rsidR="002D1A08">
        <w:rPr>
          <w:rFonts w:ascii="Arial" w:hAnsi="Arial" w:cs="Arial"/>
        </w:rPr>
        <w:t>Sub-</w:t>
      </w:r>
      <w:r w:rsidR="00E058F2">
        <w:rPr>
          <w:rFonts w:ascii="Arial" w:hAnsi="Arial" w:cs="Arial"/>
        </w:rPr>
        <w:t>g</w:t>
      </w:r>
      <w:r w:rsidR="002D1A08">
        <w:rPr>
          <w:rFonts w:ascii="Arial" w:hAnsi="Arial" w:cs="Arial"/>
        </w:rPr>
        <w:t>roup</w:t>
      </w:r>
      <w:r w:rsidRPr="00EA7487">
        <w:rPr>
          <w:rFonts w:ascii="Arial" w:hAnsi="Arial" w:cs="Arial"/>
        </w:rPr>
        <w:t xml:space="preserve"> is governed by Section 44 of the Care Act 2014, which sets out the criteria and procedure each Safeguarding Adults Board should use when a S</w:t>
      </w:r>
      <w:r w:rsidR="002D1A08">
        <w:rPr>
          <w:rFonts w:ascii="Arial" w:hAnsi="Arial" w:cs="Arial"/>
        </w:rPr>
        <w:t>AR</w:t>
      </w:r>
      <w:r w:rsidRPr="00EA7487">
        <w:rPr>
          <w:rFonts w:ascii="Arial" w:hAnsi="Arial" w:cs="Arial"/>
        </w:rPr>
        <w:t xml:space="preserve"> is required.</w:t>
      </w:r>
      <w:r w:rsidR="001F6765" w:rsidRPr="00EA7487">
        <w:rPr>
          <w:rFonts w:ascii="Arial" w:hAnsi="Arial" w:cs="Arial"/>
        </w:rPr>
        <w:t xml:space="preserve"> </w:t>
      </w:r>
      <w:r w:rsidR="000151C2" w:rsidRPr="00EA7487">
        <w:rPr>
          <w:rFonts w:ascii="Arial" w:hAnsi="Arial" w:cs="Arial"/>
        </w:rPr>
        <w:t xml:space="preserve"> This policy should be read in conjunction with the Pan-London Multi-agency Safeguarding Adults Policy and Procedures</w:t>
      </w:r>
      <w:r w:rsidR="002D1A08">
        <w:rPr>
          <w:rStyle w:val="FootnoteReference"/>
          <w:rFonts w:ascii="Arial" w:hAnsi="Arial" w:cs="Arial"/>
        </w:rPr>
        <w:footnoteReference w:id="2"/>
      </w:r>
      <w:r w:rsidR="00071A45" w:rsidRPr="00EA7487">
        <w:rPr>
          <w:rFonts w:ascii="Arial" w:hAnsi="Arial" w:cs="Arial"/>
        </w:rPr>
        <w:t xml:space="preserve"> which contains guidance for conducting SARs.</w:t>
      </w:r>
      <w:r w:rsidR="000151C2" w:rsidRPr="00EA7487">
        <w:rPr>
          <w:rFonts w:ascii="Arial" w:hAnsi="Arial" w:cs="Arial"/>
        </w:rPr>
        <w:t xml:space="preserve">   </w:t>
      </w:r>
      <w:r w:rsidR="001F6765" w:rsidRPr="00EA7487">
        <w:rPr>
          <w:rFonts w:ascii="Arial" w:hAnsi="Arial" w:cs="Arial"/>
        </w:rPr>
        <w:t xml:space="preserve"> </w:t>
      </w:r>
    </w:p>
    <w:p w14:paraId="771D8796" w14:textId="7C36D6FD" w:rsidR="00CC237A" w:rsidRPr="00EA7487" w:rsidRDefault="00CC237A" w:rsidP="00CC237A">
      <w:pPr>
        <w:rPr>
          <w:rFonts w:ascii="Arial" w:hAnsi="Arial" w:cs="Arial"/>
        </w:rPr>
      </w:pPr>
      <w:r w:rsidRPr="00EA7487">
        <w:rPr>
          <w:rFonts w:ascii="Arial" w:hAnsi="Arial" w:cs="Arial"/>
        </w:rPr>
        <w:t>A Safeguarding Adults Review (SAR) is a process that enables all partner agencies to identify</w:t>
      </w:r>
      <w:r w:rsidR="002D1A08">
        <w:rPr>
          <w:rFonts w:ascii="Arial" w:hAnsi="Arial" w:cs="Arial"/>
        </w:rPr>
        <w:t xml:space="preserve"> </w:t>
      </w:r>
      <w:r w:rsidRPr="00EA7487">
        <w:rPr>
          <w:rFonts w:ascii="Arial" w:hAnsi="Arial" w:cs="Arial"/>
        </w:rPr>
        <w:t>learn</w:t>
      </w:r>
      <w:r w:rsidR="002D1A08">
        <w:rPr>
          <w:rFonts w:ascii="Arial" w:hAnsi="Arial" w:cs="Arial"/>
        </w:rPr>
        <w:t>ing</w:t>
      </w:r>
      <w:r w:rsidRPr="00EA7487">
        <w:rPr>
          <w:rFonts w:ascii="Arial" w:hAnsi="Arial" w:cs="Arial"/>
        </w:rPr>
        <w:t xml:space="preserve"> from particularly complex or difficult safeguarding adult cases and implement changes to improve services in the light of the</w:t>
      </w:r>
      <w:r w:rsidR="002D1A08">
        <w:rPr>
          <w:rFonts w:ascii="Arial" w:hAnsi="Arial" w:cs="Arial"/>
        </w:rPr>
        <w:t xml:space="preserve"> learning</w:t>
      </w:r>
      <w:r w:rsidRPr="00EA7487">
        <w:rPr>
          <w:rFonts w:ascii="Arial" w:hAnsi="Arial" w:cs="Arial"/>
        </w:rPr>
        <w:t>.</w:t>
      </w:r>
    </w:p>
    <w:p w14:paraId="42E77177" w14:textId="298B756F" w:rsidR="00CC237A" w:rsidRPr="00EA7487" w:rsidRDefault="00CC237A" w:rsidP="00CC237A">
      <w:pPr>
        <w:rPr>
          <w:rFonts w:ascii="Arial" w:hAnsi="Arial" w:cs="Arial"/>
        </w:rPr>
      </w:pPr>
      <w:r w:rsidRPr="00EA7487">
        <w:rPr>
          <w:rFonts w:ascii="Arial" w:hAnsi="Arial" w:cs="Arial"/>
        </w:rPr>
        <w:t>The aim must be to learn from past experience</w:t>
      </w:r>
      <w:r w:rsidR="002D1A08">
        <w:rPr>
          <w:rFonts w:ascii="Arial" w:hAnsi="Arial" w:cs="Arial"/>
        </w:rPr>
        <w:t xml:space="preserve"> to</w:t>
      </w:r>
      <w:r w:rsidRPr="00EA7487">
        <w:rPr>
          <w:rFonts w:ascii="Arial" w:hAnsi="Arial" w:cs="Arial"/>
        </w:rPr>
        <w:t xml:space="preserve"> improve future practice and multi-agency working. It is not the </w:t>
      </w:r>
      <w:r w:rsidR="002D1A08">
        <w:rPr>
          <w:rFonts w:ascii="Arial" w:hAnsi="Arial" w:cs="Arial"/>
        </w:rPr>
        <w:t>purpose</w:t>
      </w:r>
      <w:r w:rsidRPr="00EA7487">
        <w:rPr>
          <w:rFonts w:ascii="Arial" w:hAnsi="Arial" w:cs="Arial"/>
        </w:rPr>
        <w:t xml:space="preserve"> of S</w:t>
      </w:r>
      <w:r w:rsidR="002D1A08">
        <w:rPr>
          <w:rFonts w:ascii="Arial" w:hAnsi="Arial" w:cs="Arial"/>
        </w:rPr>
        <w:t>ARs</w:t>
      </w:r>
      <w:r w:rsidRPr="00EA7487">
        <w:rPr>
          <w:rFonts w:ascii="Arial" w:hAnsi="Arial" w:cs="Arial"/>
        </w:rPr>
        <w:t xml:space="preserve"> to apportion blame</w:t>
      </w:r>
      <w:r w:rsidR="003E4827">
        <w:rPr>
          <w:rFonts w:ascii="Arial" w:hAnsi="Arial" w:cs="Arial"/>
        </w:rPr>
        <w:t xml:space="preserve"> or to establish how someone died or suffered significant harm. </w:t>
      </w:r>
      <w:r w:rsidRPr="00EA7487">
        <w:rPr>
          <w:rFonts w:ascii="Arial" w:hAnsi="Arial" w:cs="Arial"/>
        </w:rPr>
        <w:t xml:space="preserve"> </w:t>
      </w:r>
      <w:r w:rsidR="003E4827">
        <w:rPr>
          <w:rFonts w:ascii="Arial" w:hAnsi="Arial" w:cs="Arial"/>
        </w:rPr>
        <w:t>T</w:t>
      </w:r>
      <w:r w:rsidRPr="00EA7487">
        <w:rPr>
          <w:rFonts w:ascii="Arial" w:hAnsi="Arial" w:cs="Arial"/>
        </w:rPr>
        <w:t>hat is for</w:t>
      </w:r>
      <w:r w:rsidR="00DD485F" w:rsidRPr="00EA7487">
        <w:rPr>
          <w:rFonts w:ascii="Arial" w:hAnsi="Arial" w:cs="Arial"/>
        </w:rPr>
        <w:t xml:space="preserve"> other processes such as disciplinary, </w:t>
      </w:r>
      <w:r w:rsidR="00152EB2">
        <w:rPr>
          <w:rFonts w:ascii="Arial" w:hAnsi="Arial" w:cs="Arial"/>
        </w:rPr>
        <w:t xml:space="preserve">criminal or statutory </w:t>
      </w:r>
      <w:r w:rsidR="00DD485F" w:rsidRPr="00EA7487">
        <w:rPr>
          <w:rFonts w:ascii="Arial" w:hAnsi="Arial" w:cs="Arial"/>
        </w:rPr>
        <w:t>investigations and</w:t>
      </w:r>
      <w:r w:rsidRPr="00EA7487">
        <w:rPr>
          <w:rFonts w:ascii="Arial" w:hAnsi="Arial" w:cs="Arial"/>
        </w:rPr>
        <w:t xml:space="preserve"> the courts.  The SAPB will promote a culture that:</w:t>
      </w:r>
    </w:p>
    <w:p w14:paraId="43F8B254" w14:textId="77777777" w:rsidR="00CC237A" w:rsidRPr="00EA7487" w:rsidRDefault="00CC237A" w:rsidP="00CC237A">
      <w:pPr>
        <w:pStyle w:val="NoSpacing"/>
        <w:rPr>
          <w:rFonts w:ascii="Arial" w:hAnsi="Arial" w:cs="Arial"/>
        </w:rPr>
      </w:pPr>
      <w:r w:rsidRPr="00EA7487">
        <w:rPr>
          <w:rFonts w:ascii="Arial" w:hAnsi="Arial" w:cs="Arial"/>
        </w:rPr>
        <w:t>• Values professional expertise</w:t>
      </w:r>
    </w:p>
    <w:p w14:paraId="36DE2106" w14:textId="77777777" w:rsidR="00CC237A" w:rsidRPr="00EA7487" w:rsidRDefault="00CC237A" w:rsidP="00CC237A">
      <w:pPr>
        <w:pStyle w:val="NoSpacing"/>
        <w:rPr>
          <w:rFonts w:ascii="Arial" w:hAnsi="Arial" w:cs="Arial"/>
        </w:rPr>
      </w:pPr>
      <w:r w:rsidRPr="00EA7487">
        <w:rPr>
          <w:rFonts w:ascii="Arial" w:hAnsi="Arial" w:cs="Arial"/>
        </w:rPr>
        <w:t>• Shares responsibility</w:t>
      </w:r>
    </w:p>
    <w:p w14:paraId="02A5BB39" w14:textId="77777777" w:rsidR="00CC237A" w:rsidRPr="00EA7487" w:rsidRDefault="00CC237A" w:rsidP="00CC237A">
      <w:pPr>
        <w:pStyle w:val="NoSpacing"/>
        <w:rPr>
          <w:rFonts w:ascii="Arial" w:hAnsi="Arial" w:cs="Arial"/>
        </w:rPr>
      </w:pPr>
      <w:r w:rsidRPr="00EA7487">
        <w:rPr>
          <w:rFonts w:ascii="Arial" w:hAnsi="Arial" w:cs="Arial"/>
        </w:rPr>
        <w:t>• Develops professional expertise and supports effective practice</w:t>
      </w:r>
    </w:p>
    <w:p w14:paraId="2B0C3D98" w14:textId="77777777" w:rsidR="00CC237A" w:rsidRDefault="00CC237A" w:rsidP="00CC237A">
      <w:pPr>
        <w:pStyle w:val="NoSpacing"/>
        <w:rPr>
          <w:rFonts w:ascii="Arial" w:hAnsi="Arial" w:cs="Arial"/>
        </w:rPr>
      </w:pPr>
      <w:r w:rsidRPr="00EA7487">
        <w:rPr>
          <w:rFonts w:ascii="Arial" w:hAnsi="Arial" w:cs="Arial"/>
        </w:rPr>
        <w:t>• Strengthens accountabilities and creates a learning system</w:t>
      </w:r>
    </w:p>
    <w:p w14:paraId="0FA3B96E" w14:textId="77777777" w:rsidR="00CC237A" w:rsidRPr="00EA7487" w:rsidRDefault="00CC237A" w:rsidP="00CC237A">
      <w:pPr>
        <w:pStyle w:val="NoSpacing"/>
        <w:rPr>
          <w:rFonts w:ascii="Arial" w:hAnsi="Arial" w:cs="Arial"/>
        </w:rPr>
      </w:pPr>
    </w:p>
    <w:p w14:paraId="170D66D6" w14:textId="77777777" w:rsidR="00EA7487" w:rsidRDefault="00EA7487" w:rsidP="00CC237A">
      <w:pPr>
        <w:pStyle w:val="NoSpacing"/>
        <w:rPr>
          <w:rFonts w:ascii="Arial" w:hAnsi="Arial" w:cs="Arial"/>
        </w:rPr>
      </w:pPr>
    </w:p>
    <w:p w14:paraId="782EEA38" w14:textId="7AEC416E" w:rsidR="00762257" w:rsidRPr="00EA7487" w:rsidRDefault="00EA7487" w:rsidP="004C4A29">
      <w:pPr>
        <w:pStyle w:val="NoSpacing"/>
        <w:numPr>
          <w:ilvl w:val="0"/>
          <w:numId w:val="15"/>
        </w:numPr>
        <w:rPr>
          <w:rFonts w:ascii="Arial" w:hAnsi="Arial" w:cs="Arial"/>
          <w:b/>
        </w:rPr>
      </w:pPr>
      <w:r w:rsidRPr="00EA7487">
        <w:rPr>
          <w:rFonts w:ascii="Arial" w:hAnsi="Arial" w:cs="Arial"/>
          <w:b/>
        </w:rPr>
        <w:t xml:space="preserve">Criteria for a SAR </w:t>
      </w:r>
    </w:p>
    <w:p w14:paraId="3ADC5550" w14:textId="77777777" w:rsidR="00DD485F" w:rsidRDefault="00DD485F" w:rsidP="00CC237A">
      <w:pPr>
        <w:pStyle w:val="NoSpacing"/>
      </w:pPr>
    </w:p>
    <w:p w14:paraId="31C1B85A" w14:textId="376C4C86" w:rsidR="00EA7487" w:rsidRDefault="00E6650C" w:rsidP="00CC237A">
      <w:pPr>
        <w:pStyle w:val="NoSpacing"/>
        <w:rPr>
          <w:rFonts w:ascii="Arial" w:hAnsi="Arial" w:cs="Arial"/>
          <w:lang w:val="en"/>
        </w:rPr>
      </w:pPr>
      <w:r>
        <w:rPr>
          <w:rFonts w:ascii="Arial" w:hAnsi="Arial" w:cs="Arial"/>
          <w:lang w:val="en"/>
        </w:rPr>
        <w:t>The Care and Support Statutory Guidance (2018)</w:t>
      </w:r>
      <w:r w:rsidR="00243A7E">
        <w:rPr>
          <w:rStyle w:val="FootnoteReference"/>
          <w:rFonts w:ascii="Arial" w:hAnsi="Arial" w:cs="Arial"/>
          <w:lang w:val="en"/>
        </w:rPr>
        <w:footnoteReference w:id="3"/>
      </w:r>
      <w:r>
        <w:rPr>
          <w:rFonts w:ascii="Arial" w:hAnsi="Arial" w:cs="Arial"/>
          <w:lang w:val="en"/>
        </w:rPr>
        <w:t xml:space="preserve"> states</w:t>
      </w:r>
      <w:r w:rsidRPr="00E6650C">
        <w:rPr>
          <w:rFonts w:ascii="Arial" w:hAnsi="Arial" w:cs="Arial"/>
          <w:lang w:val="en"/>
        </w:rPr>
        <w:t xml:space="preserve"> </w:t>
      </w:r>
      <w:r>
        <w:rPr>
          <w:rFonts w:ascii="Arial" w:hAnsi="Arial" w:cs="Arial"/>
          <w:lang w:val="en"/>
        </w:rPr>
        <w:t xml:space="preserve">the </w:t>
      </w:r>
      <w:r w:rsidRPr="00E6650C">
        <w:rPr>
          <w:rFonts w:ascii="Arial" w:hAnsi="Arial" w:cs="Arial"/>
          <w:lang w:val="en"/>
        </w:rPr>
        <w:t>SAPB must arrange a SAR when an adult in its area dies as a result of abuse or neglect, whether known or suspected, and there is concern that partner agencies could have worked more effectively to protect the adult.</w:t>
      </w:r>
    </w:p>
    <w:p w14:paraId="6FCA29D0" w14:textId="77777777" w:rsidR="00B55610" w:rsidRDefault="00B55610" w:rsidP="00CC237A">
      <w:pPr>
        <w:pStyle w:val="NoSpacing"/>
        <w:rPr>
          <w:rFonts w:ascii="Arial" w:hAnsi="Arial" w:cs="Arial"/>
          <w:lang w:val="en"/>
        </w:rPr>
      </w:pPr>
    </w:p>
    <w:p w14:paraId="39B2F797" w14:textId="2DE393E1" w:rsidR="00B55610" w:rsidRDefault="00B55610" w:rsidP="00CC237A">
      <w:pPr>
        <w:pStyle w:val="NoSpacing"/>
        <w:rPr>
          <w:rFonts w:ascii="Arial" w:hAnsi="Arial" w:cs="Arial"/>
          <w:lang w:val="en"/>
        </w:rPr>
      </w:pPr>
      <w:r>
        <w:rPr>
          <w:rFonts w:ascii="Arial" w:hAnsi="Arial" w:cs="Arial"/>
          <w:lang w:val="en"/>
        </w:rPr>
        <w:t>The SAPB</w:t>
      </w:r>
      <w:r w:rsidRPr="00B55610">
        <w:rPr>
          <w:rFonts w:ascii="Arial" w:hAnsi="Arial" w:cs="Arial"/>
          <w:lang w:val="en"/>
        </w:rPr>
        <w:t xml:space="preserve"> must also arrange a SAR if an adult in its area has not died, but </w:t>
      </w:r>
      <w:r>
        <w:rPr>
          <w:rFonts w:ascii="Arial" w:hAnsi="Arial" w:cs="Arial"/>
          <w:lang w:val="en"/>
        </w:rPr>
        <w:t>the SAPB</w:t>
      </w:r>
      <w:r w:rsidRPr="00B55610">
        <w:rPr>
          <w:rFonts w:ascii="Arial" w:hAnsi="Arial" w:cs="Arial"/>
          <w:lang w:val="en"/>
        </w:rPr>
        <w:t xml:space="preserve"> knows or suspects that the adult has experienced serious abuse or neglect. In the context of SARs, something can be considered serious abuse or neglect where, for example</w:t>
      </w:r>
      <w:r w:rsidR="002D1A08">
        <w:rPr>
          <w:rFonts w:ascii="Arial" w:hAnsi="Arial" w:cs="Arial"/>
          <w:lang w:val="en"/>
        </w:rPr>
        <w:t>,</w:t>
      </w:r>
      <w:r w:rsidRPr="00B55610">
        <w:rPr>
          <w:rFonts w:ascii="Arial" w:hAnsi="Arial" w:cs="Arial"/>
          <w:lang w:val="en"/>
        </w:rPr>
        <w:t xml:space="preserve"> the individual would have been likely to have died but for an intervention, or has suffered permanent harm or has reduced capacity or quality of life (whether because of physical or psychological effects) as a result of the abuse or neglect. </w:t>
      </w:r>
      <w:r>
        <w:rPr>
          <w:rFonts w:ascii="Arial" w:hAnsi="Arial" w:cs="Arial"/>
          <w:lang w:val="en"/>
        </w:rPr>
        <w:t xml:space="preserve">The </w:t>
      </w:r>
      <w:r w:rsidRPr="00B55610">
        <w:rPr>
          <w:rFonts w:ascii="Arial" w:hAnsi="Arial" w:cs="Arial"/>
          <w:lang w:val="en"/>
        </w:rPr>
        <w:t>SA</w:t>
      </w:r>
      <w:r>
        <w:rPr>
          <w:rFonts w:ascii="Arial" w:hAnsi="Arial" w:cs="Arial"/>
          <w:lang w:val="en"/>
        </w:rPr>
        <w:t>P</w:t>
      </w:r>
      <w:r w:rsidRPr="00B55610">
        <w:rPr>
          <w:rFonts w:ascii="Arial" w:hAnsi="Arial" w:cs="Arial"/>
          <w:lang w:val="en"/>
        </w:rPr>
        <w:t>B</w:t>
      </w:r>
      <w:r>
        <w:rPr>
          <w:rFonts w:ascii="Arial" w:hAnsi="Arial" w:cs="Arial"/>
          <w:lang w:val="en"/>
        </w:rPr>
        <w:t xml:space="preserve"> </w:t>
      </w:r>
      <w:r w:rsidR="00243A7E">
        <w:rPr>
          <w:rFonts w:ascii="Arial" w:hAnsi="Arial" w:cs="Arial"/>
          <w:lang w:val="en"/>
        </w:rPr>
        <w:t>may</w:t>
      </w:r>
      <w:r w:rsidRPr="00B55610">
        <w:rPr>
          <w:rFonts w:ascii="Arial" w:hAnsi="Arial" w:cs="Arial"/>
          <w:lang w:val="en"/>
        </w:rPr>
        <w:t xml:space="preserve"> arrange a SAR in any other situations involving an adult in its area with needs for care and support.</w:t>
      </w:r>
    </w:p>
    <w:p w14:paraId="21D12C68" w14:textId="77777777" w:rsidR="0096671A" w:rsidRDefault="0096671A" w:rsidP="00CC237A">
      <w:pPr>
        <w:pStyle w:val="NoSpacing"/>
        <w:rPr>
          <w:rFonts w:ascii="Arial" w:hAnsi="Arial" w:cs="Arial"/>
          <w:lang w:val="en"/>
        </w:rPr>
      </w:pPr>
    </w:p>
    <w:p w14:paraId="70A14F5F" w14:textId="77777777" w:rsidR="0096671A" w:rsidRDefault="0096671A" w:rsidP="00CC237A">
      <w:pPr>
        <w:pStyle w:val="NoSpacing"/>
        <w:rPr>
          <w:rFonts w:ascii="Arial" w:hAnsi="Arial" w:cs="Arial"/>
          <w:lang w:val="en"/>
        </w:rPr>
      </w:pPr>
      <w:r>
        <w:rPr>
          <w:rFonts w:ascii="Arial" w:hAnsi="Arial" w:cs="Arial"/>
          <w:lang w:val="en"/>
        </w:rPr>
        <w:t>T</w:t>
      </w:r>
      <w:r w:rsidRPr="0096671A">
        <w:rPr>
          <w:rFonts w:ascii="Arial" w:hAnsi="Arial" w:cs="Arial"/>
          <w:lang w:val="en"/>
        </w:rPr>
        <w:t xml:space="preserve">here is no requirement for a case to have gone through a Section 42 safeguarding adults enquiry before it can be considered for a SAR.  </w:t>
      </w:r>
    </w:p>
    <w:p w14:paraId="776ED530" w14:textId="4612240B" w:rsidR="00B55610" w:rsidRDefault="00B55610" w:rsidP="00CC237A">
      <w:pPr>
        <w:pStyle w:val="NoSpacing"/>
        <w:rPr>
          <w:rFonts w:ascii="Arial" w:hAnsi="Arial" w:cs="Arial"/>
          <w:lang w:val="en"/>
        </w:rPr>
      </w:pPr>
      <w:r w:rsidRPr="00B55610">
        <w:rPr>
          <w:rFonts w:ascii="Arial" w:hAnsi="Arial" w:cs="Arial"/>
          <w:lang w:val="en"/>
        </w:rPr>
        <w:lastRenderedPageBreak/>
        <w:t>The SA</w:t>
      </w:r>
      <w:r>
        <w:rPr>
          <w:rFonts w:ascii="Arial" w:hAnsi="Arial" w:cs="Arial"/>
          <w:lang w:val="en"/>
        </w:rPr>
        <w:t>P</w:t>
      </w:r>
      <w:r w:rsidRPr="00B55610">
        <w:rPr>
          <w:rFonts w:ascii="Arial" w:hAnsi="Arial" w:cs="Arial"/>
          <w:lang w:val="en"/>
        </w:rPr>
        <w:t xml:space="preserve">B should be primarily concerned with weighing up what type of ‘review’ process will promote effective learning and improvement action to prevent future deaths or serious harm occurring again. This may be where a case can provide useful insights into the way </w:t>
      </w:r>
      <w:r w:rsidR="00C32A91" w:rsidRPr="00B55610">
        <w:rPr>
          <w:rFonts w:ascii="Arial" w:hAnsi="Arial" w:cs="Arial"/>
          <w:lang w:val="en"/>
        </w:rPr>
        <w:t>organizations</w:t>
      </w:r>
      <w:r w:rsidRPr="00B55610">
        <w:rPr>
          <w:rFonts w:ascii="Arial" w:hAnsi="Arial" w:cs="Arial"/>
          <w:lang w:val="en"/>
        </w:rPr>
        <w:t xml:space="preserve"> are working together to prevent and reduce abuse and neglect of adults. SARs may also be used to explore examples of good practice where this is likely to identify lessons that can be applied to future cases.</w:t>
      </w:r>
    </w:p>
    <w:p w14:paraId="71F57F02" w14:textId="77777777" w:rsidR="0096671A" w:rsidRDefault="0096671A" w:rsidP="00CC237A">
      <w:pPr>
        <w:pStyle w:val="NoSpacing"/>
        <w:rPr>
          <w:rFonts w:ascii="Arial" w:hAnsi="Arial" w:cs="Arial"/>
          <w:lang w:val="en"/>
        </w:rPr>
      </w:pPr>
    </w:p>
    <w:p w14:paraId="72165135" w14:textId="77777777" w:rsidR="0096671A" w:rsidRDefault="0096671A" w:rsidP="00CC237A">
      <w:pPr>
        <w:pStyle w:val="NoSpacing"/>
        <w:rPr>
          <w:rFonts w:ascii="Arial" w:hAnsi="Arial" w:cs="Arial"/>
        </w:rPr>
      </w:pPr>
    </w:p>
    <w:p w14:paraId="5D36443B" w14:textId="170A71B1" w:rsidR="0096671A" w:rsidRDefault="006020F8" w:rsidP="004C4A29">
      <w:pPr>
        <w:pStyle w:val="NoSpacing"/>
        <w:numPr>
          <w:ilvl w:val="0"/>
          <w:numId w:val="15"/>
        </w:numPr>
        <w:rPr>
          <w:rFonts w:ascii="Arial" w:hAnsi="Arial" w:cs="Arial"/>
          <w:b/>
        </w:rPr>
      </w:pPr>
      <w:r>
        <w:rPr>
          <w:rFonts w:ascii="Arial" w:hAnsi="Arial" w:cs="Arial"/>
          <w:b/>
        </w:rPr>
        <w:t xml:space="preserve">The Management of SAR </w:t>
      </w:r>
      <w:r w:rsidR="0096671A" w:rsidRPr="006020F8">
        <w:rPr>
          <w:rFonts w:ascii="Arial" w:hAnsi="Arial" w:cs="Arial"/>
          <w:b/>
        </w:rPr>
        <w:t>Re</w:t>
      </w:r>
      <w:r w:rsidR="00B25BD2">
        <w:rPr>
          <w:rFonts w:ascii="Arial" w:hAnsi="Arial" w:cs="Arial"/>
          <w:b/>
        </w:rPr>
        <w:t>quests</w:t>
      </w:r>
    </w:p>
    <w:p w14:paraId="05E46D85" w14:textId="77777777" w:rsidR="006020F8" w:rsidRDefault="006020F8" w:rsidP="00CC237A">
      <w:pPr>
        <w:pStyle w:val="NoSpacing"/>
        <w:rPr>
          <w:rFonts w:ascii="Arial" w:hAnsi="Arial" w:cs="Arial"/>
        </w:rPr>
      </w:pPr>
    </w:p>
    <w:p w14:paraId="274A31E1" w14:textId="77777777" w:rsidR="00034276" w:rsidRPr="00034276" w:rsidRDefault="00034276" w:rsidP="00034276">
      <w:pPr>
        <w:pStyle w:val="NoSpacing"/>
        <w:rPr>
          <w:rFonts w:ascii="Arial" w:hAnsi="Arial" w:cs="Arial"/>
        </w:rPr>
      </w:pPr>
      <w:r w:rsidRPr="00034276">
        <w:rPr>
          <w:rFonts w:ascii="Arial" w:hAnsi="Arial" w:cs="Arial"/>
        </w:rPr>
        <w:t xml:space="preserve">Any </w:t>
      </w:r>
      <w:r>
        <w:rPr>
          <w:rFonts w:ascii="Arial" w:hAnsi="Arial" w:cs="Arial"/>
        </w:rPr>
        <w:t xml:space="preserve">member of the public, </w:t>
      </w:r>
      <w:r w:rsidRPr="00034276">
        <w:rPr>
          <w:rFonts w:ascii="Arial" w:hAnsi="Arial" w:cs="Arial"/>
        </w:rPr>
        <w:t>agency or professional body, elected members, MPs or a Coroner may refer cases to the SA</w:t>
      </w:r>
      <w:r>
        <w:rPr>
          <w:rFonts w:ascii="Arial" w:hAnsi="Arial" w:cs="Arial"/>
        </w:rPr>
        <w:t>P</w:t>
      </w:r>
      <w:r w:rsidRPr="00034276">
        <w:rPr>
          <w:rFonts w:ascii="Arial" w:hAnsi="Arial" w:cs="Arial"/>
        </w:rPr>
        <w:t>B for</w:t>
      </w:r>
      <w:r>
        <w:rPr>
          <w:rFonts w:ascii="Arial" w:hAnsi="Arial" w:cs="Arial"/>
        </w:rPr>
        <w:t xml:space="preserve"> </w:t>
      </w:r>
      <w:r w:rsidRPr="00034276">
        <w:rPr>
          <w:rFonts w:ascii="Arial" w:hAnsi="Arial" w:cs="Arial"/>
        </w:rPr>
        <w:t>consideration of a SAR.</w:t>
      </w:r>
    </w:p>
    <w:p w14:paraId="64683ECE" w14:textId="77777777" w:rsidR="00034276" w:rsidRDefault="00034276" w:rsidP="00034276">
      <w:pPr>
        <w:pStyle w:val="NoSpacing"/>
        <w:rPr>
          <w:rFonts w:ascii="Arial" w:hAnsi="Arial" w:cs="Arial"/>
        </w:rPr>
      </w:pPr>
    </w:p>
    <w:p w14:paraId="0E3E5C46" w14:textId="77777777" w:rsidR="00034276" w:rsidRDefault="00034276" w:rsidP="00034276">
      <w:pPr>
        <w:pStyle w:val="NoSpacing"/>
        <w:rPr>
          <w:rFonts w:ascii="Arial" w:hAnsi="Arial" w:cs="Arial"/>
        </w:rPr>
      </w:pPr>
      <w:r w:rsidRPr="00034276">
        <w:rPr>
          <w:rFonts w:ascii="Arial" w:hAnsi="Arial" w:cs="Arial"/>
        </w:rPr>
        <w:t>A referral should be sent to the correct SA</w:t>
      </w:r>
      <w:r>
        <w:rPr>
          <w:rFonts w:ascii="Arial" w:hAnsi="Arial" w:cs="Arial"/>
        </w:rPr>
        <w:t>P</w:t>
      </w:r>
      <w:r w:rsidRPr="00034276">
        <w:rPr>
          <w:rFonts w:ascii="Arial" w:hAnsi="Arial" w:cs="Arial"/>
        </w:rPr>
        <w:t>B in the first instance. The SA</w:t>
      </w:r>
      <w:r>
        <w:rPr>
          <w:rFonts w:ascii="Arial" w:hAnsi="Arial" w:cs="Arial"/>
        </w:rPr>
        <w:t>P</w:t>
      </w:r>
      <w:r w:rsidRPr="00034276">
        <w:rPr>
          <w:rFonts w:ascii="Arial" w:hAnsi="Arial" w:cs="Arial"/>
        </w:rPr>
        <w:t xml:space="preserve">B in the area where the </w:t>
      </w:r>
      <w:r>
        <w:rPr>
          <w:rFonts w:ascii="Arial" w:hAnsi="Arial" w:cs="Arial"/>
        </w:rPr>
        <w:t xml:space="preserve">person involved </w:t>
      </w:r>
      <w:r w:rsidRPr="00034276">
        <w:rPr>
          <w:rFonts w:ascii="Arial" w:hAnsi="Arial" w:cs="Arial"/>
        </w:rPr>
        <w:t>was normally resident would be responsible for considering a SAR but if no known address can be</w:t>
      </w:r>
      <w:r>
        <w:rPr>
          <w:rFonts w:ascii="Arial" w:hAnsi="Arial" w:cs="Arial"/>
        </w:rPr>
        <w:t xml:space="preserve"> </w:t>
      </w:r>
      <w:r w:rsidRPr="00034276">
        <w:rPr>
          <w:rFonts w:ascii="Arial" w:hAnsi="Arial" w:cs="Arial"/>
        </w:rPr>
        <w:t>established, the SA</w:t>
      </w:r>
      <w:r>
        <w:rPr>
          <w:rFonts w:ascii="Arial" w:hAnsi="Arial" w:cs="Arial"/>
        </w:rPr>
        <w:t>P</w:t>
      </w:r>
      <w:r w:rsidRPr="00034276">
        <w:rPr>
          <w:rFonts w:ascii="Arial" w:hAnsi="Arial" w:cs="Arial"/>
        </w:rPr>
        <w:t xml:space="preserve">B where the </w:t>
      </w:r>
      <w:r>
        <w:rPr>
          <w:rFonts w:ascii="Arial" w:hAnsi="Arial" w:cs="Arial"/>
        </w:rPr>
        <w:t xml:space="preserve">person involved </w:t>
      </w:r>
      <w:r w:rsidRPr="00034276">
        <w:rPr>
          <w:rFonts w:ascii="Arial" w:hAnsi="Arial" w:cs="Arial"/>
        </w:rPr>
        <w:t>frequented would be responsible.</w:t>
      </w:r>
    </w:p>
    <w:p w14:paraId="0966B170" w14:textId="77777777" w:rsidR="00034276" w:rsidRDefault="00034276" w:rsidP="00034276">
      <w:pPr>
        <w:pStyle w:val="NoSpacing"/>
        <w:rPr>
          <w:rFonts w:ascii="Arial" w:hAnsi="Arial" w:cs="Arial"/>
        </w:rPr>
      </w:pPr>
    </w:p>
    <w:p w14:paraId="19B25D13" w14:textId="0979273E" w:rsidR="00034276" w:rsidRDefault="00034276" w:rsidP="00034276">
      <w:pPr>
        <w:pStyle w:val="NoSpacing"/>
        <w:rPr>
          <w:rFonts w:ascii="Arial" w:hAnsi="Arial" w:cs="Arial"/>
        </w:rPr>
      </w:pPr>
      <w:r w:rsidRPr="00034276">
        <w:rPr>
          <w:rFonts w:ascii="Arial" w:hAnsi="Arial" w:cs="Arial"/>
        </w:rPr>
        <w:t xml:space="preserve">Referrals must be made using the </w:t>
      </w:r>
      <w:r w:rsidR="00E6477C">
        <w:rPr>
          <w:rFonts w:ascii="Arial" w:hAnsi="Arial" w:cs="Arial"/>
        </w:rPr>
        <w:t xml:space="preserve">Camden SAPB Safeguarding Adults Review Request </w:t>
      </w:r>
      <w:r w:rsidRPr="00034276">
        <w:rPr>
          <w:rFonts w:ascii="Arial" w:hAnsi="Arial" w:cs="Arial"/>
        </w:rPr>
        <w:t xml:space="preserve">form </w:t>
      </w:r>
      <w:r w:rsidR="00E6477C">
        <w:rPr>
          <w:rFonts w:ascii="Arial" w:hAnsi="Arial" w:cs="Arial"/>
        </w:rPr>
        <w:t xml:space="preserve">and sent </w:t>
      </w:r>
      <w:r w:rsidRPr="00034276">
        <w:rPr>
          <w:rFonts w:ascii="Arial" w:hAnsi="Arial" w:cs="Arial"/>
        </w:rPr>
        <w:t>to the S</w:t>
      </w:r>
      <w:r>
        <w:rPr>
          <w:rFonts w:ascii="Arial" w:hAnsi="Arial" w:cs="Arial"/>
        </w:rPr>
        <w:t>APB</w:t>
      </w:r>
      <w:r w:rsidRPr="00034276">
        <w:rPr>
          <w:rFonts w:ascii="Arial" w:hAnsi="Arial" w:cs="Arial"/>
        </w:rPr>
        <w:t xml:space="preserve"> Business Manager</w:t>
      </w:r>
      <w:r w:rsidR="00A64CBA">
        <w:rPr>
          <w:rFonts w:ascii="Arial" w:hAnsi="Arial" w:cs="Arial"/>
        </w:rPr>
        <w:t xml:space="preserve"> </w:t>
      </w:r>
      <w:r w:rsidRPr="00034276">
        <w:rPr>
          <w:rFonts w:ascii="Arial" w:hAnsi="Arial" w:cs="Arial"/>
        </w:rPr>
        <w:t xml:space="preserve">who will ensure that local processes are activated. </w:t>
      </w:r>
      <w:hyperlink r:id="rId12" w:history="1">
        <w:r w:rsidR="00F41AF7" w:rsidRPr="00997A90">
          <w:rPr>
            <w:rStyle w:val="Hyperlink"/>
            <w:rFonts w:ascii="Arial" w:hAnsi="Arial" w:cs="Arial"/>
          </w:rPr>
          <w:t>Camden SAPB Multi Agency Safeguarding Adults Referral Form</w:t>
        </w:r>
      </w:hyperlink>
      <w:r w:rsidR="00F41AF7" w:rsidRPr="00997A90">
        <w:rPr>
          <w:rFonts w:ascii="Arial" w:hAnsi="Arial" w:cs="Arial"/>
        </w:rPr>
        <w:t xml:space="preserve"> </w:t>
      </w:r>
      <w:r w:rsidR="00243A7E" w:rsidRPr="00F41AF7">
        <w:rPr>
          <w:rFonts w:ascii="Arial" w:hAnsi="Arial" w:cs="Arial"/>
        </w:rPr>
        <w:t>The</w:t>
      </w:r>
      <w:r w:rsidR="00243A7E">
        <w:rPr>
          <w:rFonts w:ascii="Arial" w:hAnsi="Arial" w:cs="Arial"/>
        </w:rPr>
        <w:t xml:space="preserve"> referrer will receive an invitation, from the SAPB Business Manager, to attend the SAR Sub-</w:t>
      </w:r>
      <w:r w:rsidR="00E058F2">
        <w:rPr>
          <w:rFonts w:ascii="Arial" w:hAnsi="Arial" w:cs="Arial"/>
        </w:rPr>
        <w:t>g</w:t>
      </w:r>
      <w:r w:rsidR="00243A7E">
        <w:rPr>
          <w:rFonts w:ascii="Arial" w:hAnsi="Arial" w:cs="Arial"/>
        </w:rPr>
        <w:t xml:space="preserve">roup to present the referral.  </w:t>
      </w:r>
    </w:p>
    <w:p w14:paraId="6AA963B0" w14:textId="77777777" w:rsidR="00034276" w:rsidRDefault="00034276" w:rsidP="00034276">
      <w:pPr>
        <w:pStyle w:val="NoSpacing"/>
        <w:rPr>
          <w:rFonts w:ascii="Arial" w:hAnsi="Arial" w:cs="Arial"/>
        </w:rPr>
      </w:pPr>
    </w:p>
    <w:p w14:paraId="7F624335" w14:textId="77777777" w:rsidR="00034276" w:rsidRDefault="00034276" w:rsidP="00034276">
      <w:pPr>
        <w:pStyle w:val="NoSpacing"/>
        <w:rPr>
          <w:rFonts w:ascii="Arial" w:hAnsi="Arial" w:cs="Arial"/>
        </w:rPr>
      </w:pPr>
      <w:r w:rsidRPr="00034276">
        <w:rPr>
          <w:rFonts w:ascii="Arial" w:hAnsi="Arial" w:cs="Arial"/>
        </w:rPr>
        <w:t xml:space="preserve">It is expected that the referral for SAR consideration is made with an appropriate rationale and in a timely manner. </w:t>
      </w:r>
    </w:p>
    <w:p w14:paraId="77B93426" w14:textId="77777777" w:rsidR="00034276" w:rsidRDefault="00034276" w:rsidP="00034276">
      <w:pPr>
        <w:pStyle w:val="NoSpacing"/>
        <w:rPr>
          <w:rFonts w:ascii="Arial" w:hAnsi="Arial" w:cs="Arial"/>
        </w:rPr>
      </w:pPr>
    </w:p>
    <w:p w14:paraId="1712853A" w14:textId="44FFA407" w:rsidR="00E87A7A" w:rsidRDefault="00034276" w:rsidP="00034276">
      <w:pPr>
        <w:pStyle w:val="NoSpacing"/>
        <w:rPr>
          <w:rFonts w:ascii="Arial" w:hAnsi="Arial" w:cs="Arial"/>
        </w:rPr>
      </w:pPr>
      <w:r w:rsidRPr="00034276">
        <w:rPr>
          <w:rFonts w:ascii="Arial" w:hAnsi="Arial" w:cs="Arial"/>
        </w:rPr>
        <w:t xml:space="preserve">The Chair of the SAR </w:t>
      </w:r>
      <w:r w:rsidR="00E058F2">
        <w:rPr>
          <w:rFonts w:ascii="Arial" w:hAnsi="Arial" w:cs="Arial"/>
        </w:rPr>
        <w:t>S</w:t>
      </w:r>
      <w:r>
        <w:rPr>
          <w:rFonts w:ascii="Arial" w:hAnsi="Arial" w:cs="Arial"/>
        </w:rPr>
        <w:t>ub</w:t>
      </w:r>
      <w:r w:rsidR="00E058F2">
        <w:rPr>
          <w:rFonts w:ascii="Arial" w:hAnsi="Arial" w:cs="Arial"/>
        </w:rPr>
        <w:t>-g</w:t>
      </w:r>
      <w:r>
        <w:rPr>
          <w:rFonts w:ascii="Arial" w:hAnsi="Arial" w:cs="Arial"/>
        </w:rPr>
        <w:t>roup</w:t>
      </w:r>
      <w:r w:rsidRPr="00034276">
        <w:rPr>
          <w:rFonts w:ascii="Arial" w:hAnsi="Arial" w:cs="Arial"/>
        </w:rPr>
        <w:t xml:space="preserve"> will need to consider whether case files relevant to the case should be secured immediately to avoid undue delay before the SAR </w:t>
      </w:r>
      <w:r>
        <w:rPr>
          <w:rFonts w:ascii="Arial" w:hAnsi="Arial" w:cs="Arial"/>
        </w:rPr>
        <w:t>subgroup</w:t>
      </w:r>
      <w:r w:rsidRPr="00034276">
        <w:rPr>
          <w:rFonts w:ascii="Arial" w:hAnsi="Arial" w:cs="Arial"/>
        </w:rPr>
        <w:t xml:space="preserve"> can be convened</w:t>
      </w:r>
      <w:r>
        <w:rPr>
          <w:rFonts w:ascii="Arial" w:hAnsi="Arial" w:cs="Arial"/>
        </w:rPr>
        <w:t xml:space="preserve">.  </w:t>
      </w:r>
      <w:r w:rsidRPr="00034276">
        <w:rPr>
          <w:rFonts w:ascii="Arial" w:hAnsi="Arial" w:cs="Arial"/>
        </w:rPr>
        <w:t>The SAR</w:t>
      </w:r>
      <w:r>
        <w:rPr>
          <w:rFonts w:ascii="Arial" w:hAnsi="Arial" w:cs="Arial"/>
        </w:rPr>
        <w:t xml:space="preserve"> </w:t>
      </w:r>
      <w:r w:rsidR="00E058F2">
        <w:rPr>
          <w:rFonts w:ascii="Arial" w:hAnsi="Arial" w:cs="Arial"/>
        </w:rPr>
        <w:t>S</w:t>
      </w:r>
      <w:r>
        <w:rPr>
          <w:rFonts w:ascii="Arial" w:hAnsi="Arial" w:cs="Arial"/>
        </w:rPr>
        <w:t>ub</w:t>
      </w:r>
      <w:r w:rsidR="00E058F2">
        <w:rPr>
          <w:rFonts w:ascii="Arial" w:hAnsi="Arial" w:cs="Arial"/>
        </w:rPr>
        <w:t>-</w:t>
      </w:r>
      <w:r>
        <w:rPr>
          <w:rFonts w:ascii="Arial" w:hAnsi="Arial" w:cs="Arial"/>
        </w:rPr>
        <w:t>group</w:t>
      </w:r>
      <w:r w:rsidRPr="00034276">
        <w:rPr>
          <w:rFonts w:ascii="Arial" w:hAnsi="Arial" w:cs="Arial"/>
        </w:rPr>
        <w:t xml:space="preserve"> members should be notified of the referral as soon as is practicably possible</w:t>
      </w:r>
      <w:r>
        <w:rPr>
          <w:rFonts w:ascii="Arial" w:hAnsi="Arial" w:cs="Arial"/>
        </w:rPr>
        <w:t>.</w:t>
      </w:r>
      <w:r w:rsidR="002F12A7">
        <w:rPr>
          <w:rFonts w:ascii="Arial" w:hAnsi="Arial" w:cs="Arial"/>
        </w:rPr>
        <w:t xml:space="preserve">  An extraordinary meeting may need to be arranged at the discretion of the Chair.</w:t>
      </w:r>
    </w:p>
    <w:p w14:paraId="3C8DB971" w14:textId="77777777" w:rsidR="00983F93" w:rsidRDefault="00983F93" w:rsidP="00034276">
      <w:pPr>
        <w:pStyle w:val="NoSpacing"/>
        <w:rPr>
          <w:rFonts w:ascii="Arial" w:hAnsi="Arial" w:cs="Arial"/>
        </w:rPr>
      </w:pPr>
    </w:p>
    <w:p w14:paraId="241006CF" w14:textId="306FEF86" w:rsidR="00983F93" w:rsidRDefault="00983F93" w:rsidP="00034276">
      <w:pPr>
        <w:pStyle w:val="NoSpacing"/>
        <w:rPr>
          <w:rFonts w:ascii="Arial" w:hAnsi="Arial" w:cs="Arial"/>
        </w:rPr>
      </w:pPr>
      <w:r>
        <w:rPr>
          <w:rFonts w:ascii="Arial" w:hAnsi="Arial" w:cs="Arial"/>
        </w:rPr>
        <w:t xml:space="preserve">The Chair of the SAR </w:t>
      </w:r>
      <w:r w:rsidR="00E058F2">
        <w:rPr>
          <w:rFonts w:ascii="Arial" w:hAnsi="Arial" w:cs="Arial"/>
        </w:rPr>
        <w:t>S</w:t>
      </w:r>
      <w:r>
        <w:rPr>
          <w:rFonts w:ascii="Arial" w:hAnsi="Arial" w:cs="Arial"/>
        </w:rPr>
        <w:t>ub</w:t>
      </w:r>
      <w:r w:rsidR="00E058F2">
        <w:rPr>
          <w:rFonts w:ascii="Arial" w:hAnsi="Arial" w:cs="Arial"/>
        </w:rPr>
        <w:t>-g</w:t>
      </w:r>
      <w:r>
        <w:rPr>
          <w:rFonts w:ascii="Arial" w:hAnsi="Arial" w:cs="Arial"/>
        </w:rPr>
        <w:t>roup will make a safeguarding referral to the relevant local authority where a referral highlights any risks to other individuals with care and support needs</w:t>
      </w:r>
    </w:p>
    <w:p w14:paraId="15E1F61D" w14:textId="77777777" w:rsidR="00E87A7A" w:rsidRDefault="00E87A7A" w:rsidP="00034276">
      <w:pPr>
        <w:pStyle w:val="NoSpacing"/>
        <w:rPr>
          <w:rFonts w:ascii="Arial" w:hAnsi="Arial" w:cs="Arial"/>
        </w:rPr>
      </w:pPr>
    </w:p>
    <w:p w14:paraId="18AB71E2" w14:textId="54BB48C2" w:rsidR="00162671" w:rsidRDefault="00E87A7A" w:rsidP="00034276">
      <w:pPr>
        <w:pStyle w:val="NoSpacing"/>
        <w:rPr>
          <w:rFonts w:ascii="Arial" w:hAnsi="Arial" w:cs="Arial"/>
        </w:rPr>
      </w:pPr>
      <w:r>
        <w:rPr>
          <w:rFonts w:ascii="Arial" w:hAnsi="Arial" w:cs="Arial"/>
        </w:rPr>
        <w:t xml:space="preserve">The Chair of the SAR </w:t>
      </w:r>
      <w:r w:rsidR="00E058F2">
        <w:rPr>
          <w:rFonts w:ascii="Arial" w:hAnsi="Arial" w:cs="Arial"/>
        </w:rPr>
        <w:t>S</w:t>
      </w:r>
      <w:r>
        <w:rPr>
          <w:rFonts w:ascii="Arial" w:hAnsi="Arial" w:cs="Arial"/>
        </w:rPr>
        <w:t>ub</w:t>
      </w:r>
      <w:r w:rsidR="00E058F2">
        <w:rPr>
          <w:rFonts w:ascii="Arial" w:hAnsi="Arial" w:cs="Arial"/>
        </w:rPr>
        <w:t>-g</w:t>
      </w:r>
      <w:r>
        <w:rPr>
          <w:rFonts w:ascii="Arial" w:hAnsi="Arial" w:cs="Arial"/>
        </w:rPr>
        <w:t>roup will inform the referrer, in writing, of the decision made by the subgroup along with the rationale and any recomme</w:t>
      </w:r>
      <w:r w:rsidR="00711240">
        <w:rPr>
          <w:rFonts w:ascii="Arial" w:hAnsi="Arial" w:cs="Arial"/>
        </w:rPr>
        <w:t>n</w:t>
      </w:r>
      <w:r>
        <w:rPr>
          <w:rFonts w:ascii="Arial" w:hAnsi="Arial" w:cs="Arial"/>
        </w:rPr>
        <w:t xml:space="preserve">dations. </w:t>
      </w:r>
    </w:p>
    <w:p w14:paraId="043C9930" w14:textId="77777777" w:rsidR="00162671" w:rsidRDefault="00162671" w:rsidP="00034276">
      <w:pPr>
        <w:pStyle w:val="NoSpacing"/>
        <w:rPr>
          <w:rFonts w:ascii="Arial" w:hAnsi="Arial" w:cs="Arial"/>
        </w:rPr>
      </w:pPr>
    </w:p>
    <w:p w14:paraId="23CD6EC0" w14:textId="73C2DC24" w:rsidR="00162671" w:rsidRDefault="00162671" w:rsidP="00034276">
      <w:pPr>
        <w:pStyle w:val="NoSpacing"/>
        <w:rPr>
          <w:rFonts w:ascii="Arial" w:hAnsi="Arial" w:cs="Arial"/>
        </w:rPr>
      </w:pPr>
      <w:r w:rsidRPr="00162671">
        <w:rPr>
          <w:rFonts w:ascii="Arial" w:hAnsi="Arial" w:cs="Arial"/>
        </w:rPr>
        <w:t>Should the referrer disagree with the decision made by the SAR</w:t>
      </w:r>
      <w:r w:rsidR="00E058F2">
        <w:rPr>
          <w:rFonts w:ascii="Arial" w:hAnsi="Arial" w:cs="Arial"/>
        </w:rPr>
        <w:t xml:space="preserve"> Sub-group</w:t>
      </w:r>
      <w:r w:rsidRPr="00162671">
        <w:rPr>
          <w:rFonts w:ascii="Arial" w:hAnsi="Arial" w:cs="Arial"/>
        </w:rPr>
        <w:t xml:space="preserve">, this should be raised in writing with the Chair of the SAR </w:t>
      </w:r>
      <w:r w:rsidR="00E058F2">
        <w:rPr>
          <w:rFonts w:ascii="Arial" w:hAnsi="Arial" w:cs="Arial"/>
        </w:rPr>
        <w:t>Sub-group</w:t>
      </w:r>
      <w:r w:rsidRPr="00162671">
        <w:rPr>
          <w:rFonts w:ascii="Arial" w:hAnsi="Arial" w:cs="Arial"/>
        </w:rPr>
        <w:t xml:space="preserve"> </w:t>
      </w:r>
      <w:r w:rsidR="000A19A8">
        <w:rPr>
          <w:rFonts w:ascii="Arial" w:hAnsi="Arial" w:cs="Arial"/>
        </w:rPr>
        <w:t xml:space="preserve">at </w:t>
      </w:r>
      <w:hyperlink r:id="rId13" w:history="1">
        <w:r w:rsidR="000A19A8" w:rsidRPr="00615DBC">
          <w:rPr>
            <w:rStyle w:val="Hyperlink"/>
            <w:rFonts w:ascii="Arial" w:hAnsi="Arial" w:cs="Arial"/>
          </w:rPr>
          <w:t>CamdenSAPB@Camden.gov.uk</w:t>
        </w:r>
      </w:hyperlink>
      <w:r w:rsidR="000A19A8">
        <w:rPr>
          <w:rFonts w:ascii="Arial" w:hAnsi="Arial" w:cs="Arial"/>
        </w:rPr>
        <w:t xml:space="preserve"> </w:t>
      </w:r>
      <w:r w:rsidRPr="00162671">
        <w:rPr>
          <w:rFonts w:ascii="Arial" w:hAnsi="Arial" w:cs="Arial"/>
        </w:rPr>
        <w:t>in the first instance. This will be escalated to the Chair of the S</w:t>
      </w:r>
      <w:r w:rsidR="00D612A8">
        <w:rPr>
          <w:rFonts w:ascii="Arial" w:hAnsi="Arial" w:cs="Arial"/>
        </w:rPr>
        <w:t>AB if disagreement still exists</w:t>
      </w:r>
      <w:r w:rsidR="000A19A8">
        <w:rPr>
          <w:rFonts w:ascii="Arial" w:hAnsi="Arial" w:cs="Arial"/>
        </w:rPr>
        <w:t>.</w:t>
      </w:r>
    </w:p>
    <w:p w14:paraId="7FAA68C0" w14:textId="77777777" w:rsidR="00D612A8" w:rsidRDefault="00D612A8" w:rsidP="00034276">
      <w:pPr>
        <w:pStyle w:val="NoSpacing"/>
        <w:rPr>
          <w:rFonts w:ascii="Arial" w:hAnsi="Arial" w:cs="Arial"/>
        </w:rPr>
      </w:pPr>
    </w:p>
    <w:p w14:paraId="1B1E8AF4" w14:textId="77777777" w:rsidR="0096671A" w:rsidRDefault="0096671A" w:rsidP="00034276">
      <w:pPr>
        <w:pStyle w:val="NoSpacing"/>
        <w:rPr>
          <w:rFonts w:ascii="Arial" w:hAnsi="Arial" w:cs="Arial"/>
        </w:rPr>
      </w:pPr>
      <w:r>
        <w:rPr>
          <w:rFonts w:ascii="Arial" w:hAnsi="Arial" w:cs="Arial"/>
        </w:rPr>
        <w:t xml:space="preserve"> </w:t>
      </w:r>
    </w:p>
    <w:p w14:paraId="7DC565E3" w14:textId="77777777" w:rsidR="00EA03FF" w:rsidRDefault="00EA03FF" w:rsidP="00034276">
      <w:pPr>
        <w:pStyle w:val="NoSpacing"/>
        <w:rPr>
          <w:rFonts w:ascii="Arial" w:hAnsi="Arial" w:cs="Arial"/>
        </w:rPr>
      </w:pPr>
    </w:p>
    <w:p w14:paraId="4DC4A2D5" w14:textId="5D8AD92A" w:rsidR="00EA03FF" w:rsidRPr="00802095" w:rsidRDefault="00EA03FF" w:rsidP="004C4A29">
      <w:pPr>
        <w:pStyle w:val="NoSpacing"/>
        <w:numPr>
          <w:ilvl w:val="0"/>
          <w:numId w:val="15"/>
        </w:numPr>
        <w:rPr>
          <w:rFonts w:ascii="Arial" w:hAnsi="Arial" w:cs="Arial"/>
          <w:b/>
        </w:rPr>
      </w:pPr>
      <w:r w:rsidRPr="00802095">
        <w:rPr>
          <w:rFonts w:ascii="Arial" w:hAnsi="Arial" w:cs="Arial"/>
          <w:b/>
        </w:rPr>
        <w:t>Making Dec</w:t>
      </w:r>
      <w:r w:rsidR="00802095" w:rsidRPr="00802095">
        <w:rPr>
          <w:rFonts w:ascii="Arial" w:hAnsi="Arial" w:cs="Arial"/>
          <w:b/>
        </w:rPr>
        <w:t>i</w:t>
      </w:r>
      <w:r w:rsidRPr="00802095">
        <w:rPr>
          <w:rFonts w:ascii="Arial" w:hAnsi="Arial" w:cs="Arial"/>
          <w:b/>
        </w:rPr>
        <w:t>sions</w:t>
      </w:r>
    </w:p>
    <w:p w14:paraId="0BA79974" w14:textId="77777777" w:rsidR="00034276" w:rsidRDefault="00034276" w:rsidP="00034276">
      <w:pPr>
        <w:pStyle w:val="NoSpacing"/>
        <w:rPr>
          <w:rFonts w:ascii="Arial" w:hAnsi="Arial" w:cs="Arial"/>
        </w:rPr>
      </w:pPr>
    </w:p>
    <w:p w14:paraId="37B6A2F9" w14:textId="343368BF" w:rsidR="00034276" w:rsidRDefault="001F4EA0" w:rsidP="00034276">
      <w:pPr>
        <w:pStyle w:val="NoSpacing"/>
        <w:rPr>
          <w:rFonts w:ascii="Arial" w:hAnsi="Arial" w:cs="Arial"/>
        </w:rPr>
      </w:pPr>
      <w:r>
        <w:rPr>
          <w:rFonts w:ascii="Arial" w:hAnsi="Arial" w:cs="Arial"/>
        </w:rPr>
        <w:t xml:space="preserve">The SAR </w:t>
      </w:r>
      <w:r w:rsidR="00E058F2">
        <w:rPr>
          <w:rFonts w:ascii="Arial" w:hAnsi="Arial" w:cs="Arial"/>
        </w:rPr>
        <w:t>S</w:t>
      </w:r>
      <w:r>
        <w:rPr>
          <w:rFonts w:ascii="Arial" w:hAnsi="Arial" w:cs="Arial"/>
        </w:rPr>
        <w:t>ub</w:t>
      </w:r>
      <w:r w:rsidR="00E058F2">
        <w:rPr>
          <w:rFonts w:ascii="Arial" w:hAnsi="Arial" w:cs="Arial"/>
        </w:rPr>
        <w:t>-g</w:t>
      </w:r>
      <w:r>
        <w:rPr>
          <w:rFonts w:ascii="Arial" w:hAnsi="Arial" w:cs="Arial"/>
        </w:rPr>
        <w:t>roup must have</w:t>
      </w:r>
      <w:r w:rsidR="00243A7E">
        <w:rPr>
          <w:rFonts w:ascii="Arial" w:hAnsi="Arial" w:cs="Arial"/>
        </w:rPr>
        <w:t xml:space="preserve"> senior</w:t>
      </w:r>
      <w:r>
        <w:rPr>
          <w:rFonts w:ascii="Arial" w:hAnsi="Arial" w:cs="Arial"/>
        </w:rPr>
        <w:t xml:space="preserve"> representation from the three statutory agencies, Police, Local Authority and CCG, </w:t>
      </w:r>
      <w:r w:rsidR="00243A7E">
        <w:rPr>
          <w:rFonts w:ascii="Arial" w:hAnsi="Arial" w:cs="Arial"/>
        </w:rPr>
        <w:t xml:space="preserve">in order </w:t>
      </w:r>
      <w:r>
        <w:rPr>
          <w:rFonts w:ascii="Arial" w:hAnsi="Arial" w:cs="Arial"/>
        </w:rPr>
        <w:t>to commission a SAR.</w:t>
      </w:r>
    </w:p>
    <w:p w14:paraId="74970E42" w14:textId="77777777" w:rsidR="001F4EA0" w:rsidRDefault="001F4EA0" w:rsidP="00034276">
      <w:pPr>
        <w:pStyle w:val="NoSpacing"/>
        <w:rPr>
          <w:rFonts w:ascii="Arial" w:hAnsi="Arial" w:cs="Arial"/>
        </w:rPr>
      </w:pPr>
    </w:p>
    <w:p w14:paraId="620AF814" w14:textId="292D00A6" w:rsidR="001F4EA0" w:rsidRDefault="00243A7E" w:rsidP="00034276">
      <w:pPr>
        <w:pStyle w:val="NoSpacing"/>
        <w:rPr>
          <w:rFonts w:ascii="Arial" w:hAnsi="Arial" w:cs="Arial"/>
        </w:rPr>
      </w:pPr>
      <w:r>
        <w:rPr>
          <w:rFonts w:ascii="Arial" w:hAnsi="Arial" w:cs="Arial"/>
        </w:rPr>
        <w:t>The referrer will present the referral prior to which,</w:t>
      </w:r>
      <w:r w:rsidR="00E058F2">
        <w:rPr>
          <w:rFonts w:ascii="Arial" w:hAnsi="Arial" w:cs="Arial"/>
        </w:rPr>
        <w:t xml:space="preserve"> </w:t>
      </w:r>
      <w:r>
        <w:rPr>
          <w:rFonts w:ascii="Arial" w:hAnsi="Arial" w:cs="Arial"/>
        </w:rPr>
        <w:t>a</w:t>
      </w:r>
      <w:r w:rsidR="001F4EA0" w:rsidRPr="001F4EA0">
        <w:rPr>
          <w:rFonts w:ascii="Arial" w:hAnsi="Arial" w:cs="Arial"/>
        </w:rPr>
        <w:t xml:space="preserve">n </w:t>
      </w:r>
      <w:r>
        <w:rPr>
          <w:rFonts w:ascii="Arial" w:hAnsi="Arial" w:cs="Arial"/>
        </w:rPr>
        <w:t>A</w:t>
      </w:r>
      <w:r w:rsidR="001F4EA0" w:rsidRPr="001F4EA0">
        <w:rPr>
          <w:rFonts w:ascii="Arial" w:hAnsi="Arial" w:cs="Arial"/>
        </w:rPr>
        <w:t xml:space="preserve">gency </w:t>
      </w:r>
      <w:r>
        <w:rPr>
          <w:rFonts w:ascii="Arial" w:hAnsi="Arial" w:cs="Arial"/>
        </w:rPr>
        <w:t>I</w:t>
      </w:r>
      <w:r w:rsidR="001F4EA0" w:rsidRPr="001F4EA0">
        <w:rPr>
          <w:rFonts w:ascii="Arial" w:hAnsi="Arial" w:cs="Arial"/>
        </w:rPr>
        <w:t xml:space="preserve">nvolvement </w:t>
      </w:r>
      <w:r>
        <w:rPr>
          <w:rFonts w:ascii="Arial" w:hAnsi="Arial" w:cs="Arial"/>
        </w:rPr>
        <w:t>F</w:t>
      </w:r>
      <w:r w:rsidR="001F4EA0" w:rsidRPr="001F4EA0">
        <w:rPr>
          <w:rFonts w:ascii="Arial" w:hAnsi="Arial" w:cs="Arial"/>
        </w:rPr>
        <w:t>orm should be completed by all relevant agencies in preparation for the SAR</w:t>
      </w:r>
      <w:r>
        <w:rPr>
          <w:rFonts w:ascii="Arial" w:hAnsi="Arial" w:cs="Arial"/>
        </w:rPr>
        <w:t xml:space="preserve"> Sub-</w:t>
      </w:r>
      <w:r w:rsidR="00E058F2">
        <w:rPr>
          <w:rFonts w:ascii="Arial" w:hAnsi="Arial" w:cs="Arial"/>
        </w:rPr>
        <w:t>g</w:t>
      </w:r>
      <w:r>
        <w:rPr>
          <w:rFonts w:ascii="Arial" w:hAnsi="Arial" w:cs="Arial"/>
        </w:rPr>
        <w:t xml:space="preserve">roup. </w:t>
      </w:r>
    </w:p>
    <w:p w14:paraId="59DC0C14" w14:textId="77777777" w:rsidR="005F5A2A" w:rsidRDefault="005F5A2A" w:rsidP="00034276">
      <w:pPr>
        <w:pStyle w:val="NoSpacing"/>
        <w:rPr>
          <w:rFonts w:ascii="Arial" w:hAnsi="Arial" w:cs="Arial"/>
        </w:rPr>
      </w:pPr>
    </w:p>
    <w:p w14:paraId="69C83BEC" w14:textId="77777777" w:rsidR="005F5A2A" w:rsidRPr="005F5A2A" w:rsidRDefault="005F5A2A" w:rsidP="005F5A2A">
      <w:pPr>
        <w:pStyle w:val="NoSpacing"/>
        <w:rPr>
          <w:rFonts w:ascii="Arial" w:hAnsi="Arial" w:cs="Arial"/>
        </w:rPr>
      </w:pPr>
    </w:p>
    <w:p w14:paraId="41AFB2B6" w14:textId="39710327" w:rsidR="005F5A2A" w:rsidRPr="005F5A2A" w:rsidRDefault="005F5A2A" w:rsidP="005F5A2A">
      <w:pPr>
        <w:pStyle w:val="NoSpacing"/>
        <w:rPr>
          <w:rFonts w:ascii="Arial" w:hAnsi="Arial" w:cs="Arial"/>
        </w:rPr>
      </w:pPr>
      <w:r>
        <w:rPr>
          <w:rFonts w:ascii="Arial" w:hAnsi="Arial" w:cs="Arial"/>
        </w:rPr>
        <w:lastRenderedPageBreak/>
        <w:t xml:space="preserve">The SAR </w:t>
      </w:r>
      <w:r w:rsidR="00E058F2">
        <w:rPr>
          <w:rFonts w:ascii="Arial" w:hAnsi="Arial" w:cs="Arial"/>
        </w:rPr>
        <w:t>S</w:t>
      </w:r>
      <w:r>
        <w:rPr>
          <w:rFonts w:ascii="Arial" w:hAnsi="Arial" w:cs="Arial"/>
        </w:rPr>
        <w:t>ub</w:t>
      </w:r>
      <w:r w:rsidR="00E058F2">
        <w:rPr>
          <w:rFonts w:ascii="Arial" w:hAnsi="Arial" w:cs="Arial"/>
        </w:rPr>
        <w:t>-g</w:t>
      </w:r>
      <w:r>
        <w:rPr>
          <w:rFonts w:ascii="Arial" w:hAnsi="Arial" w:cs="Arial"/>
        </w:rPr>
        <w:t xml:space="preserve">roup must also consider whether </w:t>
      </w:r>
      <w:r w:rsidRPr="005F5A2A">
        <w:rPr>
          <w:rFonts w:ascii="Arial" w:hAnsi="Arial" w:cs="Arial"/>
        </w:rPr>
        <w:t>anything similar has happened before</w:t>
      </w:r>
      <w:r w:rsidR="00243A7E">
        <w:rPr>
          <w:rFonts w:ascii="Arial" w:hAnsi="Arial" w:cs="Arial"/>
        </w:rPr>
        <w:t xml:space="preserve">. </w:t>
      </w:r>
      <w:r w:rsidRPr="005F5A2A">
        <w:rPr>
          <w:rFonts w:ascii="Arial" w:hAnsi="Arial" w:cs="Arial"/>
        </w:rPr>
        <w:t xml:space="preserve"> If a </w:t>
      </w:r>
      <w:r w:rsidR="00243A7E">
        <w:rPr>
          <w:rFonts w:ascii="Arial" w:hAnsi="Arial" w:cs="Arial"/>
        </w:rPr>
        <w:t xml:space="preserve">similar </w:t>
      </w:r>
      <w:r w:rsidRPr="005F5A2A">
        <w:rPr>
          <w:rFonts w:ascii="Arial" w:hAnsi="Arial" w:cs="Arial"/>
        </w:rPr>
        <w:t xml:space="preserve">SAR </w:t>
      </w:r>
      <w:r w:rsidR="00243A7E">
        <w:rPr>
          <w:rFonts w:ascii="Arial" w:hAnsi="Arial" w:cs="Arial"/>
        </w:rPr>
        <w:t>was</w:t>
      </w:r>
      <w:r w:rsidRPr="005F5A2A">
        <w:rPr>
          <w:rFonts w:ascii="Arial" w:hAnsi="Arial" w:cs="Arial"/>
        </w:rPr>
        <w:t xml:space="preserve"> commissioned</w:t>
      </w:r>
      <w:r w:rsidR="00E058F2">
        <w:rPr>
          <w:rFonts w:ascii="Arial" w:hAnsi="Arial" w:cs="Arial"/>
        </w:rPr>
        <w:t xml:space="preserve"> in the past</w:t>
      </w:r>
      <w:r w:rsidR="00243A7E">
        <w:rPr>
          <w:rFonts w:ascii="Arial" w:hAnsi="Arial" w:cs="Arial"/>
        </w:rPr>
        <w:t xml:space="preserve">, the </w:t>
      </w:r>
      <w:r w:rsidR="00E058F2">
        <w:rPr>
          <w:rFonts w:ascii="Arial" w:hAnsi="Arial" w:cs="Arial"/>
        </w:rPr>
        <w:t>s</w:t>
      </w:r>
      <w:r w:rsidR="00243A7E">
        <w:rPr>
          <w:rFonts w:ascii="Arial" w:hAnsi="Arial" w:cs="Arial"/>
        </w:rPr>
        <w:t>ub</w:t>
      </w:r>
      <w:r w:rsidR="00E058F2">
        <w:rPr>
          <w:rFonts w:ascii="Arial" w:hAnsi="Arial" w:cs="Arial"/>
        </w:rPr>
        <w:t>-g</w:t>
      </w:r>
      <w:r w:rsidR="00243A7E">
        <w:rPr>
          <w:rFonts w:ascii="Arial" w:hAnsi="Arial" w:cs="Arial"/>
        </w:rPr>
        <w:t xml:space="preserve">roup should </w:t>
      </w:r>
      <w:r w:rsidR="005D27D0">
        <w:rPr>
          <w:rFonts w:ascii="Arial" w:hAnsi="Arial" w:cs="Arial"/>
        </w:rPr>
        <w:t xml:space="preserve">determine whether </w:t>
      </w:r>
      <w:r w:rsidRPr="005F5A2A">
        <w:rPr>
          <w:rFonts w:ascii="Arial" w:hAnsi="Arial" w:cs="Arial"/>
        </w:rPr>
        <w:t xml:space="preserve">new learning </w:t>
      </w:r>
      <w:r w:rsidR="005D27D0">
        <w:rPr>
          <w:rFonts w:ascii="Arial" w:hAnsi="Arial" w:cs="Arial"/>
        </w:rPr>
        <w:t>can be</w:t>
      </w:r>
      <w:r w:rsidRPr="005F5A2A">
        <w:rPr>
          <w:rFonts w:ascii="Arial" w:hAnsi="Arial" w:cs="Arial"/>
        </w:rPr>
        <w:t xml:space="preserve"> identified</w:t>
      </w:r>
      <w:r w:rsidR="005D27D0">
        <w:rPr>
          <w:rFonts w:ascii="Arial" w:hAnsi="Arial" w:cs="Arial"/>
        </w:rPr>
        <w:t xml:space="preserve"> or whether SAPB should be notified of any failure to implement existing learning.  </w:t>
      </w:r>
    </w:p>
    <w:p w14:paraId="0C67D220" w14:textId="77777777" w:rsidR="005F5A2A" w:rsidRDefault="005F5A2A" w:rsidP="00034276">
      <w:pPr>
        <w:pStyle w:val="NoSpacing"/>
        <w:rPr>
          <w:rFonts w:ascii="Arial" w:hAnsi="Arial" w:cs="Arial"/>
        </w:rPr>
      </w:pPr>
    </w:p>
    <w:p w14:paraId="05F4DF95" w14:textId="17E8246D" w:rsidR="001F4EA0" w:rsidRDefault="001F4EA0" w:rsidP="00034276">
      <w:pPr>
        <w:pStyle w:val="NoSpacing"/>
        <w:rPr>
          <w:rFonts w:ascii="Arial" w:hAnsi="Arial" w:cs="Arial"/>
        </w:rPr>
      </w:pPr>
      <w:r w:rsidRPr="001F4EA0">
        <w:rPr>
          <w:rFonts w:ascii="Arial" w:hAnsi="Arial" w:cs="Arial"/>
        </w:rPr>
        <w:t xml:space="preserve">If the decision is to proceed with a SAR, the </w:t>
      </w:r>
      <w:r w:rsidR="00E058F2">
        <w:rPr>
          <w:rFonts w:ascii="Arial" w:hAnsi="Arial" w:cs="Arial"/>
        </w:rPr>
        <w:t>s</w:t>
      </w:r>
      <w:r w:rsidR="005D27D0">
        <w:rPr>
          <w:rFonts w:ascii="Arial" w:hAnsi="Arial" w:cs="Arial"/>
        </w:rPr>
        <w:t>ub-</w:t>
      </w:r>
      <w:r w:rsidR="00E058F2">
        <w:rPr>
          <w:rFonts w:ascii="Arial" w:hAnsi="Arial" w:cs="Arial"/>
        </w:rPr>
        <w:t>g</w:t>
      </w:r>
      <w:r w:rsidR="005D27D0">
        <w:rPr>
          <w:rFonts w:ascii="Arial" w:hAnsi="Arial" w:cs="Arial"/>
        </w:rPr>
        <w:t>roup</w:t>
      </w:r>
      <w:r w:rsidRPr="001F4EA0">
        <w:rPr>
          <w:rFonts w:ascii="Arial" w:hAnsi="Arial" w:cs="Arial"/>
        </w:rPr>
        <w:t xml:space="preserve"> </w:t>
      </w:r>
      <w:r w:rsidR="005D27D0">
        <w:rPr>
          <w:rFonts w:ascii="Arial" w:hAnsi="Arial" w:cs="Arial"/>
        </w:rPr>
        <w:t xml:space="preserve">should use all available </w:t>
      </w:r>
      <w:r w:rsidRPr="001F4EA0">
        <w:rPr>
          <w:rFonts w:ascii="Arial" w:hAnsi="Arial" w:cs="Arial"/>
        </w:rPr>
        <w:t xml:space="preserve">information to determine the </w:t>
      </w:r>
      <w:r w:rsidR="00734FA2">
        <w:rPr>
          <w:rFonts w:ascii="Arial" w:hAnsi="Arial" w:cs="Arial"/>
        </w:rPr>
        <w:t xml:space="preserve">method and scope of </w:t>
      </w:r>
      <w:r w:rsidRPr="001F4EA0">
        <w:rPr>
          <w:rFonts w:ascii="Arial" w:hAnsi="Arial" w:cs="Arial"/>
        </w:rPr>
        <w:t>review</w:t>
      </w:r>
      <w:r w:rsidR="00734FA2">
        <w:rPr>
          <w:rFonts w:ascii="Arial" w:hAnsi="Arial" w:cs="Arial"/>
        </w:rPr>
        <w:t xml:space="preserve"> </w:t>
      </w:r>
      <w:r w:rsidRPr="001F4EA0">
        <w:rPr>
          <w:rFonts w:ascii="Arial" w:hAnsi="Arial" w:cs="Arial"/>
        </w:rPr>
        <w:t>to be undertaken</w:t>
      </w:r>
      <w:r w:rsidR="00734FA2">
        <w:rPr>
          <w:rFonts w:ascii="Arial" w:hAnsi="Arial" w:cs="Arial"/>
        </w:rPr>
        <w:t>.</w:t>
      </w:r>
    </w:p>
    <w:p w14:paraId="1E321552" w14:textId="77777777" w:rsidR="003A7B33" w:rsidRDefault="003A7B33" w:rsidP="00034276">
      <w:pPr>
        <w:pStyle w:val="NoSpacing"/>
        <w:rPr>
          <w:rFonts w:ascii="Arial" w:hAnsi="Arial" w:cs="Arial"/>
        </w:rPr>
      </w:pPr>
    </w:p>
    <w:p w14:paraId="0268BB7E" w14:textId="00EB85A5" w:rsidR="003A7B33" w:rsidRDefault="003A7B33" w:rsidP="003A7B33">
      <w:pPr>
        <w:pStyle w:val="NoSpacing"/>
        <w:rPr>
          <w:rFonts w:ascii="Arial" w:hAnsi="Arial" w:cs="Arial"/>
        </w:rPr>
      </w:pPr>
      <w:r w:rsidRPr="003A7B33">
        <w:rPr>
          <w:rFonts w:ascii="Arial" w:hAnsi="Arial" w:cs="Arial"/>
        </w:rPr>
        <w:t xml:space="preserve">The decision about whether to have a SAR, and the nature of the SAR that is required, </w:t>
      </w:r>
      <w:r w:rsidR="00E058F2">
        <w:rPr>
          <w:rFonts w:ascii="Arial" w:hAnsi="Arial" w:cs="Arial"/>
        </w:rPr>
        <w:t>must</w:t>
      </w:r>
      <w:r w:rsidRPr="003A7B33">
        <w:rPr>
          <w:rFonts w:ascii="Arial" w:hAnsi="Arial" w:cs="Arial"/>
        </w:rPr>
        <w:t xml:space="preserve"> take into account factors related to the case and the local context. </w:t>
      </w:r>
      <w:hyperlink r:id="rId14" w:history="1">
        <w:r w:rsidRPr="00F41AF7">
          <w:rPr>
            <w:rStyle w:val="Hyperlink"/>
            <w:rFonts w:ascii="Arial" w:hAnsi="Arial" w:cs="Arial"/>
          </w:rPr>
          <w:t>The Decision Tree</w:t>
        </w:r>
      </w:hyperlink>
      <w:r w:rsidR="00984839">
        <w:rPr>
          <w:rFonts w:ascii="Arial" w:hAnsi="Arial" w:cs="Arial"/>
        </w:rPr>
        <w:t xml:space="preserve"> </w:t>
      </w:r>
      <w:r w:rsidRPr="003A7B33">
        <w:rPr>
          <w:rFonts w:ascii="Arial" w:hAnsi="Arial" w:cs="Arial"/>
        </w:rPr>
        <w:t xml:space="preserve">should be used to evidence the SAR </w:t>
      </w:r>
      <w:r w:rsidR="005D27D0">
        <w:rPr>
          <w:rFonts w:ascii="Arial" w:hAnsi="Arial" w:cs="Arial"/>
        </w:rPr>
        <w:t>Sub</w:t>
      </w:r>
      <w:r w:rsidR="00E058F2">
        <w:rPr>
          <w:rFonts w:ascii="Arial" w:hAnsi="Arial" w:cs="Arial"/>
        </w:rPr>
        <w:t>-g</w:t>
      </w:r>
      <w:r w:rsidR="005D27D0">
        <w:rPr>
          <w:rFonts w:ascii="Arial" w:hAnsi="Arial" w:cs="Arial"/>
        </w:rPr>
        <w:t>roup’s</w:t>
      </w:r>
      <w:r w:rsidRPr="003A7B33">
        <w:rPr>
          <w:rFonts w:ascii="Arial" w:hAnsi="Arial" w:cs="Arial"/>
        </w:rPr>
        <w:t xml:space="preserve"> discussion and rationale. The rationale for these decisions should be clear, defensible and reached in a timely fashion.</w:t>
      </w:r>
      <w:r w:rsidR="00AF31AD">
        <w:rPr>
          <w:rFonts w:ascii="Arial" w:hAnsi="Arial" w:cs="Arial"/>
        </w:rPr>
        <w:t xml:space="preserve">  The SAR </w:t>
      </w:r>
      <w:r w:rsidR="005D27D0">
        <w:rPr>
          <w:rFonts w:ascii="Arial" w:hAnsi="Arial" w:cs="Arial"/>
        </w:rPr>
        <w:t>D</w:t>
      </w:r>
      <w:r w:rsidR="00AF31AD">
        <w:rPr>
          <w:rFonts w:ascii="Arial" w:hAnsi="Arial" w:cs="Arial"/>
        </w:rPr>
        <w:t xml:space="preserve">ecision </w:t>
      </w:r>
      <w:r w:rsidR="005D27D0">
        <w:rPr>
          <w:rFonts w:ascii="Arial" w:hAnsi="Arial" w:cs="Arial"/>
        </w:rPr>
        <w:t>M</w:t>
      </w:r>
      <w:r w:rsidR="00AF31AD">
        <w:rPr>
          <w:rFonts w:ascii="Arial" w:hAnsi="Arial" w:cs="Arial"/>
        </w:rPr>
        <w:t xml:space="preserve">aking </w:t>
      </w:r>
      <w:r w:rsidR="005D27D0">
        <w:rPr>
          <w:rFonts w:ascii="Arial" w:hAnsi="Arial" w:cs="Arial"/>
        </w:rPr>
        <w:t>T</w:t>
      </w:r>
      <w:r w:rsidR="00AF31AD">
        <w:rPr>
          <w:rFonts w:ascii="Arial" w:hAnsi="Arial" w:cs="Arial"/>
        </w:rPr>
        <w:t>emplate</w:t>
      </w:r>
      <w:r w:rsidR="009961C3">
        <w:rPr>
          <w:rFonts w:ascii="Arial" w:hAnsi="Arial" w:cs="Arial"/>
        </w:rPr>
        <w:t xml:space="preserve"> </w:t>
      </w:r>
      <w:r w:rsidR="00AF31AD">
        <w:rPr>
          <w:rFonts w:ascii="Arial" w:hAnsi="Arial" w:cs="Arial"/>
        </w:rPr>
        <w:t xml:space="preserve">should be completed on behalf of the SAR </w:t>
      </w:r>
      <w:r w:rsidR="00E058F2">
        <w:rPr>
          <w:rFonts w:ascii="Arial" w:hAnsi="Arial" w:cs="Arial"/>
        </w:rPr>
        <w:t>S</w:t>
      </w:r>
      <w:r w:rsidR="00AF31AD">
        <w:rPr>
          <w:rFonts w:ascii="Arial" w:hAnsi="Arial" w:cs="Arial"/>
        </w:rPr>
        <w:t>ub</w:t>
      </w:r>
      <w:r w:rsidR="00E058F2">
        <w:rPr>
          <w:rFonts w:ascii="Arial" w:hAnsi="Arial" w:cs="Arial"/>
        </w:rPr>
        <w:t>-g</w:t>
      </w:r>
      <w:r w:rsidR="00AF31AD">
        <w:rPr>
          <w:rFonts w:ascii="Arial" w:hAnsi="Arial" w:cs="Arial"/>
        </w:rPr>
        <w:t>roup by the Chair for each referral and shared with the SAPB Chair.</w:t>
      </w:r>
      <w:r w:rsidRPr="003A7B33">
        <w:rPr>
          <w:rFonts w:ascii="Arial" w:hAnsi="Arial" w:cs="Arial"/>
        </w:rPr>
        <w:t xml:space="preserve"> </w:t>
      </w:r>
    </w:p>
    <w:p w14:paraId="06ED75F1" w14:textId="77777777" w:rsidR="00162671" w:rsidRPr="003A7B33" w:rsidRDefault="00162671" w:rsidP="003A7B33">
      <w:pPr>
        <w:pStyle w:val="NoSpacing"/>
        <w:rPr>
          <w:rFonts w:ascii="Arial" w:hAnsi="Arial" w:cs="Arial"/>
        </w:rPr>
      </w:pPr>
    </w:p>
    <w:p w14:paraId="5ED255A0" w14:textId="77777777" w:rsidR="003A7B33" w:rsidRPr="003A7B33" w:rsidRDefault="003A7B33" w:rsidP="003A7B33">
      <w:pPr>
        <w:pStyle w:val="NoSpacing"/>
        <w:rPr>
          <w:rFonts w:ascii="Arial" w:hAnsi="Arial" w:cs="Arial"/>
        </w:rPr>
      </w:pPr>
      <w:r w:rsidRPr="003A7B33">
        <w:rPr>
          <w:rFonts w:ascii="Arial" w:hAnsi="Arial" w:cs="Arial"/>
        </w:rPr>
        <w:t xml:space="preserve">The options are: </w:t>
      </w:r>
    </w:p>
    <w:p w14:paraId="462BB900" w14:textId="32A28511" w:rsidR="003A7B33" w:rsidRPr="003A7B33" w:rsidRDefault="003A7B33" w:rsidP="003A7B33">
      <w:pPr>
        <w:pStyle w:val="NoSpacing"/>
        <w:numPr>
          <w:ilvl w:val="0"/>
          <w:numId w:val="1"/>
        </w:numPr>
        <w:rPr>
          <w:rFonts w:ascii="Arial" w:hAnsi="Arial" w:cs="Arial"/>
        </w:rPr>
      </w:pPr>
      <w:r w:rsidRPr="003A7B33">
        <w:rPr>
          <w:rFonts w:ascii="Arial" w:hAnsi="Arial" w:cs="Arial"/>
        </w:rPr>
        <w:t>To conduct a SAR</w:t>
      </w:r>
      <w:r w:rsidR="00482DC8">
        <w:rPr>
          <w:rFonts w:ascii="Arial" w:hAnsi="Arial" w:cs="Arial"/>
        </w:rPr>
        <w:t xml:space="preserve"> using one of the methodologies (see The Decision Tree link above)</w:t>
      </w:r>
    </w:p>
    <w:p w14:paraId="16651669" w14:textId="26266B47" w:rsidR="003A7B33" w:rsidRPr="003A7B33" w:rsidRDefault="003A7B33" w:rsidP="003A7B33">
      <w:pPr>
        <w:pStyle w:val="NoSpacing"/>
        <w:numPr>
          <w:ilvl w:val="0"/>
          <w:numId w:val="1"/>
        </w:numPr>
        <w:rPr>
          <w:rFonts w:ascii="Arial" w:hAnsi="Arial" w:cs="Arial"/>
        </w:rPr>
      </w:pPr>
      <w:r w:rsidRPr="003A7B33">
        <w:rPr>
          <w:rFonts w:ascii="Arial" w:hAnsi="Arial" w:cs="Arial"/>
        </w:rPr>
        <w:t xml:space="preserve">To undertake/request another type of review (e.g. specific agencies to conduct internal management reviews or smaller scale audit/review of agency involvement). In such cases, arrangements should be made for the findings to be shared with the SAR </w:t>
      </w:r>
      <w:r w:rsidR="005D27D0">
        <w:rPr>
          <w:rFonts w:ascii="Arial" w:hAnsi="Arial" w:cs="Arial"/>
        </w:rPr>
        <w:t>S</w:t>
      </w:r>
      <w:r>
        <w:rPr>
          <w:rFonts w:ascii="Arial" w:hAnsi="Arial" w:cs="Arial"/>
        </w:rPr>
        <w:t>ub</w:t>
      </w:r>
      <w:r w:rsidR="005D27D0">
        <w:rPr>
          <w:rFonts w:ascii="Arial" w:hAnsi="Arial" w:cs="Arial"/>
        </w:rPr>
        <w:t>-</w:t>
      </w:r>
      <w:r w:rsidR="00E058F2">
        <w:rPr>
          <w:rFonts w:ascii="Arial" w:hAnsi="Arial" w:cs="Arial"/>
        </w:rPr>
        <w:t>g</w:t>
      </w:r>
      <w:r>
        <w:rPr>
          <w:rFonts w:ascii="Arial" w:hAnsi="Arial" w:cs="Arial"/>
        </w:rPr>
        <w:t>roup</w:t>
      </w:r>
      <w:r w:rsidRPr="003A7B33">
        <w:rPr>
          <w:rFonts w:ascii="Arial" w:hAnsi="Arial" w:cs="Arial"/>
        </w:rPr>
        <w:t xml:space="preserve"> </w:t>
      </w:r>
    </w:p>
    <w:p w14:paraId="3F1972B7" w14:textId="77777777" w:rsidR="003A7B33" w:rsidRPr="003A7B33" w:rsidRDefault="003A7B33" w:rsidP="003A7B33">
      <w:pPr>
        <w:pStyle w:val="NoSpacing"/>
        <w:numPr>
          <w:ilvl w:val="0"/>
          <w:numId w:val="1"/>
        </w:numPr>
        <w:rPr>
          <w:rFonts w:ascii="Arial" w:hAnsi="Arial" w:cs="Arial"/>
        </w:rPr>
      </w:pPr>
      <w:r w:rsidRPr="003A7B33">
        <w:rPr>
          <w:rFonts w:ascii="Arial" w:hAnsi="Arial" w:cs="Arial"/>
        </w:rPr>
        <w:t xml:space="preserve">To take no further action. </w:t>
      </w:r>
    </w:p>
    <w:p w14:paraId="4E52B5A4" w14:textId="77777777" w:rsidR="003A7B33" w:rsidRDefault="003A7B33" w:rsidP="00034276">
      <w:pPr>
        <w:pStyle w:val="NoSpacing"/>
        <w:rPr>
          <w:rFonts w:ascii="Arial" w:hAnsi="Arial" w:cs="Arial"/>
        </w:rPr>
      </w:pPr>
    </w:p>
    <w:p w14:paraId="560F2247" w14:textId="77777777" w:rsidR="00162671" w:rsidRDefault="00162671" w:rsidP="00034276">
      <w:pPr>
        <w:pStyle w:val="NoSpacing"/>
        <w:rPr>
          <w:rFonts w:ascii="Arial" w:hAnsi="Arial" w:cs="Arial"/>
        </w:rPr>
      </w:pPr>
    </w:p>
    <w:p w14:paraId="1DA2E57F" w14:textId="2518331B" w:rsidR="00610BF9" w:rsidRPr="002E2430" w:rsidRDefault="00610BF9" w:rsidP="004C4A29">
      <w:pPr>
        <w:pStyle w:val="NoSpacing"/>
        <w:numPr>
          <w:ilvl w:val="0"/>
          <w:numId w:val="15"/>
        </w:numPr>
        <w:rPr>
          <w:rFonts w:ascii="Arial" w:hAnsi="Arial" w:cs="Arial"/>
          <w:b/>
        </w:rPr>
      </w:pPr>
      <w:r w:rsidRPr="002E2430">
        <w:rPr>
          <w:rFonts w:ascii="Arial" w:hAnsi="Arial" w:cs="Arial"/>
          <w:b/>
        </w:rPr>
        <w:t>The Approach to SARs</w:t>
      </w:r>
    </w:p>
    <w:p w14:paraId="0D4AFB9A" w14:textId="77777777" w:rsidR="00610BF9" w:rsidRDefault="00610BF9" w:rsidP="00034276">
      <w:pPr>
        <w:pStyle w:val="NoSpacing"/>
        <w:rPr>
          <w:rFonts w:ascii="Arial" w:hAnsi="Arial" w:cs="Arial"/>
        </w:rPr>
      </w:pPr>
    </w:p>
    <w:p w14:paraId="10A2FAD8" w14:textId="77777777" w:rsidR="00610BF9" w:rsidRDefault="00610BF9" w:rsidP="00610BF9">
      <w:pPr>
        <w:pStyle w:val="NoSpacing"/>
        <w:rPr>
          <w:rFonts w:ascii="Arial" w:hAnsi="Arial" w:cs="Arial"/>
        </w:rPr>
      </w:pPr>
      <w:r w:rsidRPr="00610BF9">
        <w:rPr>
          <w:rFonts w:ascii="Arial" w:hAnsi="Arial" w:cs="Arial"/>
        </w:rPr>
        <w:t xml:space="preserve">The approach taken in SARs should be proportionate according to the scale and level of complexity of the issues being examined. </w:t>
      </w:r>
    </w:p>
    <w:p w14:paraId="577DF746" w14:textId="77777777" w:rsidR="00F519A4" w:rsidRDefault="00F519A4" w:rsidP="00610BF9">
      <w:pPr>
        <w:pStyle w:val="NoSpacing"/>
        <w:rPr>
          <w:rFonts w:ascii="Arial" w:hAnsi="Arial" w:cs="Arial"/>
        </w:rPr>
      </w:pPr>
    </w:p>
    <w:p w14:paraId="16842B39" w14:textId="1C5D4EAF" w:rsidR="00F519A4" w:rsidRDefault="00F519A4" w:rsidP="00610BF9">
      <w:pPr>
        <w:pStyle w:val="NoSpacing"/>
        <w:rPr>
          <w:rFonts w:ascii="Arial" w:hAnsi="Arial" w:cs="Arial"/>
        </w:rPr>
      </w:pPr>
      <w:r>
        <w:rPr>
          <w:rFonts w:ascii="Arial" w:hAnsi="Arial" w:cs="Arial"/>
        </w:rPr>
        <w:t>The Six Principles of Adult Safeguarding must be followed throughout the SAR process</w:t>
      </w:r>
      <w:r w:rsidR="00225BD4">
        <w:rPr>
          <w:rFonts w:ascii="Arial" w:hAnsi="Arial" w:cs="Arial"/>
        </w:rPr>
        <w:t>:</w:t>
      </w:r>
    </w:p>
    <w:p w14:paraId="2E946517" w14:textId="77777777" w:rsidR="00225BD4" w:rsidRPr="00A6569D" w:rsidRDefault="00225BD4" w:rsidP="00A6569D">
      <w:pPr>
        <w:pStyle w:val="NoSpacing"/>
        <w:numPr>
          <w:ilvl w:val="0"/>
          <w:numId w:val="14"/>
        </w:numPr>
        <w:rPr>
          <w:rFonts w:ascii="Arial" w:hAnsi="Arial" w:cs="Arial"/>
          <w:lang w:val="en" w:eastAsia="en-GB"/>
        </w:rPr>
      </w:pPr>
      <w:r w:rsidRPr="00A6569D">
        <w:rPr>
          <w:rFonts w:ascii="Arial" w:hAnsi="Arial" w:cs="Arial"/>
          <w:lang w:val="en" w:eastAsia="en-GB"/>
        </w:rPr>
        <w:t>Empowerment: People being supported and encouraged to make their own decisions and informed consent.</w:t>
      </w:r>
    </w:p>
    <w:p w14:paraId="0DF6E140" w14:textId="77777777" w:rsidR="00225BD4" w:rsidRPr="00A6569D" w:rsidRDefault="00225BD4" w:rsidP="00A6569D">
      <w:pPr>
        <w:pStyle w:val="NoSpacing"/>
        <w:numPr>
          <w:ilvl w:val="0"/>
          <w:numId w:val="14"/>
        </w:numPr>
        <w:rPr>
          <w:rFonts w:ascii="Arial" w:hAnsi="Arial" w:cs="Arial"/>
          <w:lang w:val="en" w:eastAsia="en-GB"/>
        </w:rPr>
      </w:pPr>
      <w:r w:rsidRPr="00A6569D">
        <w:rPr>
          <w:rFonts w:ascii="Arial" w:hAnsi="Arial" w:cs="Arial"/>
          <w:lang w:val="en" w:eastAsia="en-GB"/>
        </w:rPr>
        <w:t>Prevention:  It is better to take action before harm occurs.</w:t>
      </w:r>
    </w:p>
    <w:p w14:paraId="532C0913" w14:textId="77777777" w:rsidR="00225BD4" w:rsidRPr="00A6569D" w:rsidRDefault="00225BD4" w:rsidP="00A6569D">
      <w:pPr>
        <w:pStyle w:val="NoSpacing"/>
        <w:numPr>
          <w:ilvl w:val="0"/>
          <w:numId w:val="14"/>
        </w:numPr>
        <w:rPr>
          <w:rFonts w:ascii="Arial" w:hAnsi="Arial" w:cs="Arial"/>
          <w:lang w:val="en" w:eastAsia="en-GB"/>
        </w:rPr>
      </w:pPr>
      <w:r w:rsidRPr="00A6569D">
        <w:rPr>
          <w:rFonts w:ascii="Arial" w:hAnsi="Arial" w:cs="Arial"/>
          <w:lang w:val="en" w:eastAsia="en-GB"/>
        </w:rPr>
        <w:t>Proportionality:  The least intrusive response appropriate to the risk presented.</w:t>
      </w:r>
    </w:p>
    <w:p w14:paraId="5B64F9EA" w14:textId="77777777" w:rsidR="00225BD4" w:rsidRPr="00A6569D" w:rsidRDefault="00225BD4" w:rsidP="00A6569D">
      <w:pPr>
        <w:pStyle w:val="NoSpacing"/>
        <w:numPr>
          <w:ilvl w:val="0"/>
          <w:numId w:val="14"/>
        </w:numPr>
        <w:rPr>
          <w:rFonts w:ascii="Arial" w:hAnsi="Arial" w:cs="Arial"/>
          <w:lang w:val="en" w:eastAsia="en-GB"/>
        </w:rPr>
      </w:pPr>
      <w:r w:rsidRPr="00A6569D">
        <w:rPr>
          <w:rFonts w:ascii="Arial" w:hAnsi="Arial" w:cs="Arial"/>
          <w:lang w:val="en" w:eastAsia="en-GB"/>
        </w:rPr>
        <w:t>Protection:  Support and representation for those in greatest need.</w:t>
      </w:r>
    </w:p>
    <w:p w14:paraId="4BD461F2" w14:textId="77777777" w:rsidR="00225BD4" w:rsidRPr="00A6569D" w:rsidRDefault="00225BD4" w:rsidP="00A6569D">
      <w:pPr>
        <w:pStyle w:val="NoSpacing"/>
        <w:numPr>
          <w:ilvl w:val="0"/>
          <w:numId w:val="14"/>
        </w:numPr>
        <w:rPr>
          <w:rFonts w:ascii="Arial" w:hAnsi="Arial" w:cs="Arial"/>
          <w:lang w:val="en" w:eastAsia="en-GB"/>
        </w:rPr>
      </w:pPr>
      <w:r w:rsidRPr="00A6569D">
        <w:rPr>
          <w:rFonts w:ascii="Arial" w:hAnsi="Arial" w:cs="Arial"/>
          <w:lang w:val="en" w:eastAsia="en-GB"/>
        </w:rPr>
        <w:t>Partnership:  Local solutions through services working with their communities. Communities have a part to play in preventing, detecting and reporting neglect and abuse.</w:t>
      </w:r>
    </w:p>
    <w:p w14:paraId="2DBE55E2" w14:textId="77777777" w:rsidR="00225BD4" w:rsidRPr="00225BD4" w:rsidRDefault="00225BD4" w:rsidP="00A6569D">
      <w:pPr>
        <w:pStyle w:val="NoSpacing"/>
        <w:numPr>
          <w:ilvl w:val="0"/>
          <w:numId w:val="14"/>
        </w:numPr>
        <w:rPr>
          <w:lang w:val="en" w:eastAsia="en-GB"/>
        </w:rPr>
      </w:pPr>
      <w:r w:rsidRPr="00A6569D">
        <w:rPr>
          <w:rFonts w:ascii="Arial" w:hAnsi="Arial" w:cs="Arial"/>
          <w:lang w:val="en" w:eastAsia="en-GB"/>
        </w:rPr>
        <w:t>Accountability:  Accountability and transparency in delivering safeguarding</w:t>
      </w:r>
      <w:r w:rsidRPr="00225BD4">
        <w:rPr>
          <w:lang w:val="en" w:eastAsia="en-GB"/>
        </w:rPr>
        <w:t>.</w:t>
      </w:r>
    </w:p>
    <w:p w14:paraId="59248193" w14:textId="77777777" w:rsidR="00A6569D" w:rsidRDefault="00A6569D" w:rsidP="00610BF9">
      <w:pPr>
        <w:pStyle w:val="NoSpacing"/>
        <w:rPr>
          <w:rFonts w:ascii="Arial" w:hAnsi="Arial" w:cs="Arial"/>
        </w:rPr>
      </w:pPr>
    </w:p>
    <w:p w14:paraId="711693A3" w14:textId="07EFDAB4" w:rsidR="00610BF9" w:rsidRPr="00610BF9" w:rsidRDefault="00610BF9" w:rsidP="00610BF9">
      <w:pPr>
        <w:pStyle w:val="NoSpacing"/>
        <w:rPr>
          <w:rFonts w:ascii="Arial" w:hAnsi="Arial" w:cs="Arial"/>
        </w:rPr>
      </w:pPr>
      <w:r w:rsidRPr="00610BF9">
        <w:rPr>
          <w:rFonts w:ascii="Arial" w:hAnsi="Arial" w:cs="Arial"/>
        </w:rPr>
        <w:t xml:space="preserve">The </w:t>
      </w:r>
      <w:r w:rsidR="00225BD4">
        <w:rPr>
          <w:rFonts w:ascii="Arial" w:hAnsi="Arial" w:cs="Arial"/>
        </w:rPr>
        <w:t>SAR Sub-group</w:t>
      </w:r>
      <w:r w:rsidRPr="00610BF9">
        <w:rPr>
          <w:rFonts w:ascii="Arial" w:hAnsi="Arial" w:cs="Arial"/>
        </w:rPr>
        <w:t xml:space="preserve"> should be primarily concerned with weighing up what type of ‘review’ process will promote effective learning and improvement action to prevent future deaths or serious harm occurring again. This may be where a case can provide useful insights into the way organisations are working together to prevent and reduce abuse and neglect of adults. </w:t>
      </w:r>
    </w:p>
    <w:p w14:paraId="0A2AD279" w14:textId="77777777" w:rsidR="00610BF9" w:rsidRDefault="00610BF9" w:rsidP="00610BF9">
      <w:pPr>
        <w:pStyle w:val="NoSpacing"/>
        <w:rPr>
          <w:rFonts w:ascii="Arial" w:hAnsi="Arial" w:cs="Arial"/>
        </w:rPr>
      </w:pPr>
    </w:p>
    <w:p w14:paraId="27D921FB" w14:textId="1A1CE0B5" w:rsidR="00DF2DC6" w:rsidRDefault="00610BF9" w:rsidP="00DF2DC6">
      <w:pPr>
        <w:pStyle w:val="NoSpacing"/>
        <w:rPr>
          <w:rFonts w:ascii="Arial" w:hAnsi="Arial" w:cs="Arial"/>
        </w:rPr>
      </w:pPr>
      <w:r w:rsidRPr="00610BF9">
        <w:rPr>
          <w:rFonts w:ascii="Arial" w:hAnsi="Arial" w:cs="Arial"/>
        </w:rPr>
        <w:t>Early discussions need to take place with the adult, family and friends to agree how they wish to be involved and where required. Families should be invited to contribute to reviews. It is important that they are informed of how they are going to be involved and their expectations should be managed appropriately and sensitively.</w:t>
      </w:r>
      <w:r w:rsidR="00DF2DC6">
        <w:rPr>
          <w:rFonts w:ascii="Arial" w:hAnsi="Arial" w:cs="Arial"/>
        </w:rPr>
        <w:t xml:space="preserve"> </w:t>
      </w:r>
      <w:r w:rsidR="003821DC">
        <w:rPr>
          <w:rFonts w:ascii="Arial" w:hAnsi="Arial" w:cs="Arial"/>
        </w:rPr>
        <w:t xml:space="preserve"> The SAPB SAR leaflet </w:t>
      </w:r>
      <w:r w:rsidR="00D612A8">
        <w:rPr>
          <w:rFonts w:ascii="Arial" w:hAnsi="Arial" w:cs="Arial"/>
        </w:rPr>
        <w:t xml:space="preserve">for families should be provided </w:t>
      </w:r>
      <w:hyperlink r:id="rId15" w:history="1">
        <w:r w:rsidR="00F50582" w:rsidRPr="00F50582">
          <w:rPr>
            <w:rStyle w:val="Hyperlink"/>
            <w:rFonts w:ascii="Arial" w:hAnsi="Arial" w:cs="Arial"/>
          </w:rPr>
          <w:t>Camden SAPB SAR Leaflet for Families, Carers, Friends.</w:t>
        </w:r>
      </w:hyperlink>
      <w:r w:rsidR="0071755D">
        <w:rPr>
          <w:rFonts w:ascii="Arial" w:hAnsi="Arial" w:cs="Arial"/>
        </w:rPr>
        <w:t xml:space="preserve"> </w:t>
      </w:r>
    </w:p>
    <w:p w14:paraId="517D0AAD" w14:textId="77777777" w:rsidR="00D612A8" w:rsidRDefault="00D612A8" w:rsidP="00DF2DC6">
      <w:pPr>
        <w:pStyle w:val="NoSpacing"/>
        <w:rPr>
          <w:rFonts w:ascii="Arial" w:hAnsi="Arial" w:cs="Arial"/>
        </w:rPr>
      </w:pPr>
    </w:p>
    <w:p w14:paraId="4FF97299" w14:textId="77777777" w:rsidR="00DF2DC6" w:rsidRDefault="00DF2DC6" w:rsidP="00DF2DC6">
      <w:pPr>
        <w:pStyle w:val="NoSpacing"/>
        <w:rPr>
          <w:rFonts w:ascii="Arial" w:hAnsi="Arial" w:cs="Arial"/>
        </w:rPr>
      </w:pPr>
    </w:p>
    <w:p w14:paraId="2FAE3E4F" w14:textId="77777777" w:rsidR="00DF2DC6" w:rsidRPr="00DF2DC6" w:rsidRDefault="00DF2DC6" w:rsidP="00DF2DC6">
      <w:pPr>
        <w:pStyle w:val="NoSpacing"/>
        <w:rPr>
          <w:rFonts w:ascii="Arial" w:hAnsi="Arial" w:cs="Arial"/>
        </w:rPr>
      </w:pPr>
      <w:r w:rsidRPr="00DF2DC6">
        <w:rPr>
          <w:rFonts w:ascii="Arial" w:hAnsi="Arial" w:cs="Arial"/>
        </w:rPr>
        <w:lastRenderedPageBreak/>
        <w:t xml:space="preserve">The adult who is the subject of any SAR need not have been in receipt of care and support services for the Board to arrange a review. </w:t>
      </w:r>
    </w:p>
    <w:p w14:paraId="4A9937A9" w14:textId="77777777" w:rsidR="00610BF9" w:rsidRDefault="00610BF9" w:rsidP="00610BF9">
      <w:pPr>
        <w:pStyle w:val="NoSpacing"/>
        <w:rPr>
          <w:rFonts w:ascii="Arial" w:hAnsi="Arial" w:cs="Arial"/>
        </w:rPr>
      </w:pPr>
    </w:p>
    <w:p w14:paraId="72F93BDD" w14:textId="77777777" w:rsidR="00610BF9" w:rsidRPr="00610BF9" w:rsidRDefault="00610BF9" w:rsidP="00610BF9">
      <w:pPr>
        <w:pStyle w:val="NoSpacing"/>
        <w:rPr>
          <w:rFonts w:ascii="Arial" w:hAnsi="Arial" w:cs="Arial"/>
        </w:rPr>
      </w:pPr>
      <w:r w:rsidRPr="00610BF9">
        <w:rPr>
          <w:rFonts w:ascii="Arial" w:hAnsi="Arial" w:cs="Arial"/>
        </w:rPr>
        <w:t>There is also a separate duty to arrange an independent advocate</w:t>
      </w:r>
      <w:r w:rsidR="009D0DA5">
        <w:rPr>
          <w:rFonts w:ascii="Arial" w:hAnsi="Arial" w:cs="Arial"/>
        </w:rPr>
        <w:t>, through the locally commissioned advocacy service,</w:t>
      </w:r>
      <w:r w:rsidRPr="00610BF9">
        <w:rPr>
          <w:rFonts w:ascii="Arial" w:hAnsi="Arial" w:cs="Arial"/>
        </w:rPr>
        <w:t xml:space="preserve"> for adults who are subject to a Safeguarding Adults Review (SAR). </w:t>
      </w:r>
    </w:p>
    <w:p w14:paraId="5E7A7595" w14:textId="77777777" w:rsidR="00610BF9" w:rsidRDefault="00610BF9" w:rsidP="00610BF9">
      <w:pPr>
        <w:pStyle w:val="NoSpacing"/>
        <w:rPr>
          <w:rFonts w:ascii="Arial" w:hAnsi="Arial" w:cs="Arial"/>
        </w:rPr>
      </w:pPr>
    </w:p>
    <w:p w14:paraId="1AFDCF57" w14:textId="77777777" w:rsidR="00610BF9" w:rsidRPr="00610BF9" w:rsidRDefault="00610BF9" w:rsidP="00610BF9">
      <w:pPr>
        <w:pStyle w:val="NoSpacing"/>
        <w:rPr>
          <w:rFonts w:ascii="Arial" w:hAnsi="Arial" w:cs="Arial"/>
        </w:rPr>
      </w:pPr>
      <w:r w:rsidRPr="00610BF9">
        <w:rPr>
          <w:rFonts w:ascii="Arial" w:hAnsi="Arial" w:cs="Arial"/>
        </w:rPr>
        <w:t>Reviews should be led by individuals who are independent of the case under review and of the</w:t>
      </w:r>
      <w:r>
        <w:rPr>
          <w:rFonts w:ascii="Arial" w:hAnsi="Arial" w:cs="Arial"/>
        </w:rPr>
        <w:t xml:space="preserve"> organisations involved.</w:t>
      </w:r>
      <w:r w:rsidRPr="00610BF9">
        <w:rPr>
          <w:rFonts w:ascii="Arial" w:hAnsi="Arial" w:cs="Arial"/>
        </w:rPr>
        <w:t xml:space="preserve"> </w:t>
      </w:r>
    </w:p>
    <w:p w14:paraId="1607F9E6" w14:textId="77777777" w:rsidR="00610BF9" w:rsidRDefault="00610BF9" w:rsidP="00610BF9">
      <w:pPr>
        <w:pStyle w:val="NoSpacing"/>
        <w:rPr>
          <w:rFonts w:ascii="Arial" w:hAnsi="Arial" w:cs="Arial"/>
        </w:rPr>
      </w:pPr>
    </w:p>
    <w:p w14:paraId="4B0AB65C" w14:textId="77777777" w:rsidR="00610BF9" w:rsidRDefault="00610BF9" w:rsidP="00610BF9">
      <w:pPr>
        <w:pStyle w:val="NoSpacing"/>
        <w:rPr>
          <w:rFonts w:ascii="Arial" w:hAnsi="Arial" w:cs="Arial"/>
        </w:rPr>
      </w:pPr>
      <w:r w:rsidRPr="00610BF9">
        <w:rPr>
          <w:rFonts w:ascii="Arial" w:hAnsi="Arial" w:cs="Arial"/>
        </w:rPr>
        <w:t xml:space="preserve">Professionals should be involved fully in reviews and invited to contribute their perspectives without fear of being blamed for actions they took in good faith. </w:t>
      </w:r>
    </w:p>
    <w:p w14:paraId="7502BE09" w14:textId="77777777" w:rsidR="0052158D" w:rsidRDefault="0052158D" w:rsidP="00610BF9">
      <w:pPr>
        <w:pStyle w:val="NoSpacing"/>
        <w:rPr>
          <w:rFonts w:ascii="Arial" w:hAnsi="Arial" w:cs="Arial"/>
        </w:rPr>
      </w:pPr>
    </w:p>
    <w:p w14:paraId="05415E94" w14:textId="77777777" w:rsidR="00610BF9" w:rsidRDefault="00610BF9" w:rsidP="00610BF9">
      <w:pPr>
        <w:pStyle w:val="NoSpacing"/>
        <w:rPr>
          <w:rFonts w:ascii="Arial" w:hAnsi="Arial" w:cs="Arial"/>
        </w:rPr>
      </w:pPr>
    </w:p>
    <w:p w14:paraId="37D5F842" w14:textId="7CDF8E9F" w:rsidR="00924F6A" w:rsidRPr="00924F6A" w:rsidRDefault="00924F6A" w:rsidP="004C4A29">
      <w:pPr>
        <w:pStyle w:val="NoSpacing"/>
        <w:numPr>
          <w:ilvl w:val="0"/>
          <w:numId w:val="15"/>
        </w:numPr>
        <w:rPr>
          <w:rFonts w:ascii="Arial" w:hAnsi="Arial" w:cs="Arial"/>
          <w:b/>
        </w:rPr>
      </w:pPr>
      <w:r w:rsidRPr="00924F6A">
        <w:rPr>
          <w:rFonts w:ascii="Arial" w:hAnsi="Arial" w:cs="Arial"/>
          <w:b/>
        </w:rPr>
        <w:t>Links with Other Reviews</w:t>
      </w:r>
    </w:p>
    <w:p w14:paraId="26A1C110" w14:textId="77777777" w:rsidR="00924F6A" w:rsidRDefault="00924F6A" w:rsidP="00610BF9">
      <w:pPr>
        <w:pStyle w:val="NoSpacing"/>
        <w:rPr>
          <w:rFonts w:ascii="Arial" w:hAnsi="Arial" w:cs="Arial"/>
        </w:rPr>
      </w:pPr>
    </w:p>
    <w:p w14:paraId="2678486C" w14:textId="439883FB" w:rsidR="00924F6A" w:rsidRPr="00924F6A" w:rsidRDefault="00924F6A" w:rsidP="00924F6A">
      <w:pPr>
        <w:pStyle w:val="NoSpacing"/>
        <w:rPr>
          <w:rFonts w:ascii="Arial" w:hAnsi="Arial" w:cs="Arial"/>
          <w:lang w:val="en"/>
        </w:rPr>
      </w:pPr>
      <w:r w:rsidRPr="00924F6A">
        <w:rPr>
          <w:rFonts w:ascii="Arial" w:hAnsi="Arial" w:cs="Arial"/>
          <w:lang w:val="en"/>
        </w:rPr>
        <w:t xml:space="preserve">When victims of domestic homicide are aged between 16 and 18, there are separate requirements in statutory guidance for both a child Serious Case Review (SCR) and a Domestic Homicide Review (DHR). Where such reviews may be relevant to SAR (for example, because they concern the same perpetrator), consideration should be given to how SARs, DHRs and SCRs can be managed in parallel in the most effective manner possible so that </w:t>
      </w:r>
      <w:r w:rsidR="00C32A91" w:rsidRPr="00924F6A">
        <w:rPr>
          <w:rFonts w:ascii="Arial" w:hAnsi="Arial" w:cs="Arial"/>
          <w:lang w:val="en"/>
        </w:rPr>
        <w:t>organizations</w:t>
      </w:r>
      <w:r w:rsidRPr="00924F6A">
        <w:rPr>
          <w:rFonts w:ascii="Arial" w:hAnsi="Arial" w:cs="Arial"/>
          <w:lang w:val="en"/>
        </w:rPr>
        <w:t xml:space="preserve"> and professionals can learn from the case. For example, considering whether some aspects of the reviews can be commissioned jointly so as to reduce duplication of work for the </w:t>
      </w:r>
      <w:r w:rsidR="00C32A91" w:rsidRPr="00924F6A">
        <w:rPr>
          <w:rFonts w:ascii="Arial" w:hAnsi="Arial" w:cs="Arial"/>
          <w:lang w:val="en"/>
        </w:rPr>
        <w:t>organizations</w:t>
      </w:r>
      <w:r w:rsidRPr="00924F6A">
        <w:rPr>
          <w:rFonts w:ascii="Arial" w:hAnsi="Arial" w:cs="Arial"/>
          <w:lang w:val="en"/>
        </w:rPr>
        <w:t xml:space="preserve"> involved.</w:t>
      </w:r>
    </w:p>
    <w:p w14:paraId="6F7F2741" w14:textId="77777777" w:rsidR="00924F6A" w:rsidRDefault="00924F6A" w:rsidP="00924F6A">
      <w:pPr>
        <w:pStyle w:val="NoSpacing"/>
        <w:rPr>
          <w:rFonts w:ascii="Arial" w:hAnsi="Arial" w:cs="Arial"/>
          <w:lang w:val="en"/>
        </w:rPr>
      </w:pPr>
    </w:p>
    <w:p w14:paraId="7C11E883" w14:textId="581D45D1" w:rsidR="00924F6A" w:rsidRPr="00924F6A" w:rsidRDefault="00225BD4" w:rsidP="00924F6A">
      <w:pPr>
        <w:pStyle w:val="NoSpacing"/>
        <w:rPr>
          <w:rFonts w:ascii="Arial" w:hAnsi="Arial" w:cs="Arial"/>
          <w:lang w:val="en"/>
        </w:rPr>
      </w:pPr>
      <w:r>
        <w:rPr>
          <w:rFonts w:ascii="Arial" w:hAnsi="Arial" w:cs="Arial"/>
          <w:lang w:val="en"/>
        </w:rPr>
        <w:t>When commissioning a S</w:t>
      </w:r>
      <w:r w:rsidR="00924F6A" w:rsidRPr="00924F6A">
        <w:rPr>
          <w:rFonts w:ascii="Arial" w:hAnsi="Arial" w:cs="Arial"/>
          <w:lang w:val="en"/>
        </w:rPr>
        <w:t xml:space="preserve">AR the </w:t>
      </w:r>
      <w:r>
        <w:rPr>
          <w:rFonts w:ascii="Arial" w:hAnsi="Arial" w:cs="Arial"/>
          <w:lang w:val="en"/>
        </w:rPr>
        <w:t>sub-group</w:t>
      </w:r>
      <w:r w:rsidR="00924F6A" w:rsidRPr="00924F6A">
        <w:rPr>
          <w:rFonts w:ascii="Arial" w:hAnsi="Arial" w:cs="Arial"/>
          <w:lang w:val="en"/>
        </w:rPr>
        <w:t xml:space="preserve"> should </w:t>
      </w:r>
      <w:r>
        <w:rPr>
          <w:rFonts w:ascii="Arial" w:hAnsi="Arial" w:cs="Arial"/>
          <w:lang w:val="en"/>
        </w:rPr>
        <w:t>recommend to the SAPB</w:t>
      </w:r>
      <w:r w:rsidR="00924F6A" w:rsidRPr="00924F6A">
        <w:rPr>
          <w:rFonts w:ascii="Arial" w:hAnsi="Arial" w:cs="Arial"/>
          <w:lang w:val="en"/>
        </w:rPr>
        <w:t xml:space="preserve"> how the process c</w:t>
      </w:r>
      <w:r>
        <w:rPr>
          <w:rFonts w:ascii="Arial" w:hAnsi="Arial" w:cs="Arial"/>
          <w:lang w:val="en"/>
        </w:rPr>
        <w:t>ould</w:t>
      </w:r>
      <w:r w:rsidR="00924F6A" w:rsidRPr="00924F6A">
        <w:rPr>
          <w:rFonts w:ascii="Arial" w:hAnsi="Arial" w:cs="Arial"/>
          <w:lang w:val="en"/>
        </w:rPr>
        <w:t xml:space="preserve"> dovetail with any other relevant investigations that are running parallel, such as a child SCR or DHR, a criminal investigation or an inquest.</w:t>
      </w:r>
    </w:p>
    <w:p w14:paraId="5611EC30" w14:textId="77777777" w:rsidR="00924F6A" w:rsidRDefault="00924F6A" w:rsidP="00924F6A">
      <w:pPr>
        <w:pStyle w:val="NoSpacing"/>
        <w:rPr>
          <w:rFonts w:ascii="Arial" w:hAnsi="Arial" w:cs="Arial"/>
          <w:lang w:val="en"/>
        </w:rPr>
      </w:pPr>
    </w:p>
    <w:p w14:paraId="089EDE5C" w14:textId="18121460" w:rsidR="00924F6A" w:rsidRDefault="00225BD4" w:rsidP="00924F6A">
      <w:pPr>
        <w:pStyle w:val="NoSpacing"/>
        <w:rPr>
          <w:rFonts w:ascii="Arial" w:hAnsi="Arial" w:cs="Arial"/>
          <w:lang w:val="en"/>
        </w:rPr>
      </w:pPr>
      <w:r>
        <w:rPr>
          <w:rFonts w:ascii="Arial" w:hAnsi="Arial" w:cs="Arial"/>
          <w:lang w:val="en"/>
        </w:rPr>
        <w:t>W</w:t>
      </w:r>
      <w:r w:rsidR="00924F6A" w:rsidRPr="00924F6A">
        <w:rPr>
          <w:rFonts w:ascii="Arial" w:hAnsi="Arial" w:cs="Arial"/>
          <w:lang w:val="en"/>
        </w:rPr>
        <w:t>hen running a SAR and DHR or child SCR in parallel</w:t>
      </w:r>
      <w:r>
        <w:rPr>
          <w:rFonts w:ascii="Arial" w:hAnsi="Arial" w:cs="Arial"/>
          <w:lang w:val="en"/>
        </w:rPr>
        <w:t xml:space="preserve">, it should be </w:t>
      </w:r>
      <w:r w:rsidR="00924F6A" w:rsidRPr="00924F6A">
        <w:rPr>
          <w:rFonts w:ascii="Arial" w:hAnsi="Arial" w:cs="Arial"/>
          <w:lang w:val="en"/>
        </w:rPr>
        <w:t>establish</w:t>
      </w:r>
      <w:r>
        <w:rPr>
          <w:rFonts w:ascii="Arial" w:hAnsi="Arial" w:cs="Arial"/>
          <w:lang w:val="en"/>
        </w:rPr>
        <w:t>ed</w:t>
      </w:r>
      <w:r w:rsidR="00924F6A" w:rsidRPr="00924F6A">
        <w:rPr>
          <w:rFonts w:ascii="Arial" w:hAnsi="Arial" w:cs="Arial"/>
          <w:lang w:val="en"/>
        </w:rPr>
        <w:t xml:space="preserve"> at the </w:t>
      </w:r>
      <w:r>
        <w:rPr>
          <w:rFonts w:ascii="Arial" w:hAnsi="Arial" w:cs="Arial"/>
          <w:lang w:val="en"/>
        </w:rPr>
        <w:t>beginning,</w:t>
      </w:r>
      <w:r w:rsidR="00924F6A" w:rsidRPr="00924F6A">
        <w:rPr>
          <w:rFonts w:ascii="Arial" w:hAnsi="Arial" w:cs="Arial"/>
          <w:lang w:val="en"/>
        </w:rPr>
        <w:t xml:space="preserve"> all the relevant areas that need to be addressed to reduce potential for duplication for families and staff. Any SAR will need to take account of a coroner‘s inquiry, and, or, any criminal investigation related to the case, including disclosure issues, to ensure that relevant information can be shared without incurring significant delay in the review process. It will be the responsibility of the SAR</w:t>
      </w:r>
      <w:r>
        <w:rPr>
          <w:rFonts w:ascii="Arial" w:hAnsi="Arial" w:cs="Arial"/>
          <w:lang w:val="en"/>
        </w:rPr>
        <w:t xml:space="preserve"> Chair</w:t>
      </w:r>
      <w:r w:rsidR="00924F6A" w:rsidRPr="00924F6A">
        <w:rPr>
          <w:rFonts w:ascii="Arial" w:hAnsi="Arial" w:cs="Arial"/>
          <w:lang w:val="en"/>
        </w:rPr>
        <w:t xml:space="preserve"> to ensure contact is made with the Chair of any parallel process in order to </w:t>
      </w:r>
      <w:r w:rsidR="00C32A91" w:rsidRPr="00924F6A">
        <w:rPr>
          <w:rFonts w:ascii="Arial" w:hAnsi="Arial" w:cs="Arial"/>
          <w:lang w:val="en"/>
        </w:rPr>
        <w:t>minimize</w:t>
      </w:r>
      <w:r w:rsidR="00924F6A" w:rsidRPr="00924F6A">
        <w:rPr>
          <w:rFonts w:ascii="Arial" w:hAnsi="Arial" w:cs="Arial"/>
          <w:lang w:val="en"/>
        </w:rPr>
        <w:t xml:space="preserve"> avoidable duplication.</w:t>
      </w:r>
    </w:p>
    <w:p w14:paraId="51C518A2" w14:textId="77777777" w:rsidR="0052158D" w:rsidRDefault="0052158D" w:rsidP="00924F6A">
      <w:pPr>
        <w:pStyle w:val="NoSpacing"/>
        <w:rPr>
          <w:rFonts w:ascii="Arial" w:hAnsi="Arial" w:cs="Arial"/>
          <w:lang w:val="en"/>
        </w:rPr>
      </w:pPr>
    </w:p>
    <w:p w14:paraId="114ED4F3" w14:textId="758679D3" w:rsidR="00721C25" w:rsidRPr="00721C25" w:rsidRDefault="00721C25" w:rsidP="004C4A29">
      <w:pPr>
        <w:pStyle w:val="NoSpacing"/>
        <w:numPr>
          <w:ilvl w:val="0"/>
          <w:numId w:val="15"/>
        </w:numPr>
        <w:rPr>
          <w:rFonts w:ascii="Arial" w:hAnsi="Arial" w:cs="Arial"/>
          <w:b/>
        </w:rPr>
      </w:pPr>
      <w:r w:rsidRPr="00721C25">
        <w:rPr>
          <w:rFonts w:ascii="Arial" w:hAnsi="Arial" w:cs="Arial"/>
          <w:b/>
        </w:rPr>
        <w:t>The Responsibilities of the SAR Sub</w:t>
      </w:r>
      <w:r w:rsidR="002E2CC7">
        <w:rPr>
          <w:rFonts w:ascii="Arial" w:hAnsi="Arial" w:cs="Arial"/>
          <w:b/>
        </w:rPr>
        <w:t>-g</w:t>
      </w:r>
      <w:r w:rsidRPr="00721C25">
        <w:rPr>
          <w:rFonts w:ascii="Arial" w:hAnsi="Arial" w:cs="Arial"/>
          <w:b/>
        </w:rPr>
        <w:t>roup</w:t>
      </w:r>
    </w:p>
    <w:p w14:paraId="2A962E96" w14:textId="77777777" w:rsidR="002E2CC7" w:rsidRDefault="002E2CC7" w:rsidP="002E2CC7">
      <w:pPr>
        <w:pStyle w:val="NoSpacing"/>
        <w:rPr>
          <w:rFonts w:ascii="Arial" w:hAnsi="Arial" w:cs="Arial"/>
        </w:rPr>
      </w:pPr>
    </w:p>
    <w:p w14:paraId="1F105F0A" w14:textId="38BB5FF8" w:rsidR="00721C25" w:rsidRDefault="00721C25" w:rsidP="002E2CC7">
      <w:pPr>
        <w:pStyle w:val="NoSpacing"/>
        <w:rPr>
          <w:rFonts w:ascii="Arial" w:hAnsi="Arial" w:cs="Arial"/>
        </w:rPr>
      </w:pPr>
      <w:r w:rsidRPr="00721C25">
        <w:rPr>
          <w:rFonts w:ascii="Arial" w:hAnsi="Arial" w:cs="Arial"/>
        </w:rPr>
        <w:t>Discussion and agreement with the SAPB Chair will define and agree the expectations of the review</w:t>
      </w:r>
    </w:p>
    <w:p w14:paraId="521ACB9D" w14:textId="77777777" w:rsidR="00721C25" w:rsidRDefault="00721C25" w:rsidP="00721C25">
      <w:pPr>
        <w:pStyle w:val="NoSpacing"/>
        <w:rPr>
          <w:rFonts w:ascii="Arial" w:hAnsi="Arial" w:cs="Arial"/>
        </w:rPr>
      </w:pPr>
    </w:p>
    <w:p w14:paraId="69021CBA" w14:textId="55A9DFD8" w:rsidR="00721C25" w:rsidRPr="00721C25" w:rsidRDefault="00721C25" w:rsidP="00721C25">
      <w:pPr>
        <w:pStyle w:val="NoSpacing"/>
        <w:rPr>
          <w:rFonts w:ascii="Arial" w:hAnsi="Arial" w:cs="Arial"/>
        </w:rPr>
      </w:pPr>
      <w:r w:rsidRPr="00721C25">
        <w:rPr>
          <w:rFonts w:ascii="Arial" w:hAnsi="Arial" w:cs="Arial"/>
        </w:rPr>
        <w:t xml:space="preserve">The SAR </w:t>
      </w:r>
      <w:r w:rsidR="008C4387">
        <w:rPr>
          <w:rFonts w:ascii="Arial" w:hAnsi="Arial" w:cs="Arial"/>
        </w:rPr>
        <w:t>S</w:t>
      </w:r>
      <w:r w:rsidRPr="00721C25">
        <w:rPr>
          <w:rFonts w:ascii="Arial" w:hAnsi="Arial" w:cs="Arial"/>
        </w:rPr>
        <w:t>ub</w:t>
      </w:r>
      <w:r w:rsidR="008C4387">
        <w:rPr>
          <w:rFonts w:ascii="Arial" w:hAnsi="Arial" w:cs="Arial"/>
        </w:rPr>
        <w:t>-</w:t>
      </w:r>
      <w:r w:rsidRPr="00721C25">
        <w:rPr>
          <w:rFonts w:ascii="Arial" w:hAnsi="Arial" w:cs="Arial"/>
        </w:rPr>
        <w:t xml:space="preserve">group will receive regular updates on the progress of the SAR from the Review Group as set out in the terms of reference. </w:t>
      </w:r>
    </w:p>
    <w:p w14:paraId="1114EB7B" w14:textId="77777777" w:rsidR="00721C25" w:rsidRDefault="00721C25" w:rsidP="00721C25">
      <w:pPr>
        <w:pStyle w:val="NoSpacing"/>
        <w:rPr>
          <w:rFonts w:ascii="Arial" w:hAnsi="Arial" w:cs="Arial"/>
        </w:rPr>
      </w:pPr>
    </w:p>
    <w:p w14:paraId="6A9A9457" w14:textId="4720E919" w:rsidR="00721C25" w:rsidRPr="00721C25" w:rsidRDefault="00721C25" w:rsidP="00721C25">
      <w:pPr>
        <w:pStyle w:val="NoSpacing"/>
        <w:rPr>
          <w:rFonts w:ascii="Arial" w:hAnsi="Arial" w:cs="Arial"/>
        </w:rPr>
      </w:pPr>
      <w:r w:rsidRPr="00721C25">
        <w:rPr>
          <w:rFonts w:ascii="Arial" w:hAnsi="Arial" w:cs="Arial"/>
        </w:rPr>
        <w:t xml:space="preserve">The Chair of the SAR </w:t>
      </w:r>
      <w:r w:rsidR="008C4387">
        <w:rPr>
          <w:rFonts w:ascii="Arial" w:hAnsi="Arial" w:cs="Arial"/>
        </w:rPr>
        <w:t>S</w:t>
      </w:r>
      <w:r w:rsidRPr="00721C25">
        <w:rPr>
          <w:rFonts w:ascii="Arial" w:hAnsi="Arial" w:cs="Arial"/>
        </w:rPr>
        <w:t>ub</w:t>
      </w:r>
      <w:r w:rsidR="008C4387">
        <w:rPr>
          <w:rFonts w:ascii="Arial" w:hAnsi="Arial" w:cs="Arial"/>
        </w:rPr>
        <w:t>-</w:t>
      </w:r>
      <w:r w:rsidRPr="00721C25">
        <w:rPr>
          <w:rFonts w:ascii="Arial" w:hAnsi="Arial" w:cs="Arial"/>
        </w:rPr>
        <w:t xml:space="preserve">group will ensure that progress updates are provided to the Safeguarding Adults Board at its scheduled meetings. </w:t>
      </w:r>
    </w:p>
    <w:p w14:paraId="4739B275" w14:textId="77777777" w:rsidR="00721C25" w:rsidRDefault="00721C25" w:rsidP="00721C25">
      <w:pPr>
        <w:pStyle w:val="NoSpacing"/>
        <w:rPr>
          <w:rFonts w:ascii="Arial" w:hAnsi="Arial" w:cs="Arial"/>
        </w:rPr>
      </w:pPr>
    </w:p>
    <w:p w14:paraId="0B801F14" w14:textId="40D5B4F8" w:rsidR="00721C25" w:rsidRPr="00721C25" w:rsidRDefault="00721C25" w:rsidP="00721C25">
      <w:pPr>
        <w:pStyle w:val="NoSpacing"/>
        <w:rPr>
          <w:rFonts w:ascii="Arial" w:hAnsi="Arial" w:cs="Arial"/>
        </w:rPr>
      </w:pPr>
      <w:r w:rsidRPr="00721C25">
        <w:rPr>
          <w:rFonts w:ascii="Arial" w:hAnsi="Arial" w:cs="Arial"/>
        </w:rPr>
        <w:t xml:space="preserve">The draft final report together with a draft action plan will be presented to both the SAR </w:t>
      </w:r>
      <w:r w:rsidR="008C4387">
        <w:rPr>
          <w:rFonts w:ascii="Arial" w:hAnsi="Arial" w:cs="Arial"/>
        </w:rPr>
        <w:t>S</w:t>
      </w:r>
      <w:r w:rsidRPr="00721C25">
        <w:rPr>
          <w:rFonts w:ascii="Arial" w:hAnsi="Arial" w:cs="Arial"/>
        </w:rPr>
        <w:t>ub-group and the SA</w:t>
      </w:r>
      <w:r>
        <w:rPr>
          <w:rFonts w:ascii="Arial" w:hAnsi="Arial" w:cs="Arial"/>
        </w:rPr>
        <w:t>P</w:t>
      </w:r>
      <w:r w:rsidRPr="00721C25">
        <w:rPr>
          <w:rFonts w:ascii="Arial" w:hAnsi="Arial" w:cs="Arial"/>
        </w:rPr>
        <w:t xml:space="preserve">B Chair. </w:t>
      </w:r>
    </w:p>
    <w:p w14:paraId="4D34FD4F" w14:textId="77777777" w:rsidR="00721C25" w:rsidRDefault="00721C25" w:rsidP="00721C25">
      <w:pPr>
        <w:pStyle w:val="NoSpacing"/>
        <w:rPr>
          <w:rFonts w:ascii="Arial" w:hAnsi="Arial" w:cs="Arial"/>
        </w:rPr>
      </w:pPr>
    </w:p>
    <w:p w14:paraId="04E69EA3" w14:textId="77777777" w:rsidR="00721C25" w:rsidRPr="00721C25" w:rsidRDefault="00721C25" w:rsidP="00721C25">
      <w:pPr>
        <w:pStyle w:val="NoSpacing"/>
        <w:rPr>
          <w:rFonts w:ascii="Arial" w:hAnsi="Arial" w:cs="Arial"/>
        </w:rPr>
      </w:pPr>
      <w:r w:rsidRPr="00721C25">
        <w:rPr>
          <w:rFonts w:ascii="Arial" w:hAnsi="Arial" w:cs="Arial"/>
        </w:rPr>
        <w:t xml:space="preserve">The Chair of the SAR sub group, supported by the Board Business Manager, will ensure that the final report is presented to the Board as soon as possible after its completion. </w:t>
      </w:r>
    </w:p>
    <w:p w14:paraId="1E608C03" w14:textId="77777777" w:rsidR="00721C25" w:rsidRDefault="00721C25" w:rsidP="00721C25">
      <w:pPr>
        <w:pStyle w:val="NoSpacing"/>
        <w:rPr>
          <w:rFonts w:ascii="Arial" w:hAnsi="Arial" w:cs="Arial"/>
        </w:rPr>
      </w:pPr>
    </w:p>
    <w:p w14:paraId="78E81CCA" w14:textId="391092DE" w:rsidR="00721C25" w:rsidRPr="00721C25" w:rsidRDefault="00721C25" w:rsidP="00721C25">
      <w:pPr>
        <w:pStyle w:val="NoSpacing"/>
        <w:rPr>
          <w:rFonts w:ascii="Arial" w:hAnsi="Arial" w:cs="Arial"/>
        </w:rPr>
      </w:pPr>
      <w:r>
        <w:rPr>
          <w:rFonts w:ascii="Arial" w:hAnsi="Arial" w:cs="Arial"/>
        </w:rPr>
        <w:lastRenderedPageBreak/>
        <w:t>T</w:t>
      </w:r>
      <w:r w:rsidRPr="00721C25">
        <w:rPr>
          <w:rFonts w:ascii="Arial" w:hAnsi="Arial" w:cs="Arial"/>
        </w:rPr>
        <w:t xml:space="preserve">he Chair of the SAR </w:t>
      </w:r>
      <w:r w:rsidR="008C4387">
        <w:rPr>
          <w:rFonts w:ascii="Arial" w:hAnsi="Arial" w:cs="Arial"/>
        </w:rPr>
        <w:t>S</w:t>
      </w:r>
      <w:r w:rsidRPr="00721C25">
        <w:rPr>
          <w:rFonts w:ascii="Arial" w:hAnsi="Arial" w:cs="Arial"/>
        </w:rPr>
        <w:t>ub</w:t>
      </w:r>
      <w:r w:rsidR="008C4387">
        <w:rPr>
          <w:rFonts w:ascii="Arial" w:hAnsi="Arial" w:cs="Arial"/>
        </w:rPr>
        <w:t>-</w:t>
      </w:r>
      <w:r w:rsidRPr="00721C25">
        <w:rPr>
          <w:rFonts w:ascii="Arial" w:hAnsi="Arial" w:cs="Arial"/>
        </w:rPr>
        <w:t>group will also agree with the Chair</w:t>
      </w:r>
      <w:r w:rsidR="008C4387">
        <w:rPr>
          <w:rFonts w:ascii="Arial" w:hAnsi="Arial" w:cs="Arial"/>
        </w:rPr>
        <w:t xml:space="preserve"> of the review,</w:t>
      </w:r>
      <w:r w:rsidRPr="00721C25">
        <w:rPr>
          <w:rFonts w:ascii="Arial" w:hAnsi="Arial" w:cs="Arial"/>
        </w:rPr>
        <w:t xml:space="preserve"> how the draft report is to be shared with the individual and/or or their friends or relatives. </w:t>
      </w:r>
    </w:p>
    <w:p w14:paraId="7BA55915" w14:textId="1AD21017" w:rsidR="00721C25" w:rsidRPr="00721C25" w:rsidRDefault="00721C25" w:rsidP="00721C25">
      <w:pPr>
        <w:pStyle w:val="NoSpacing"/>
        <w:rPr>
          <w:rFonts w:ascii="Arial" w:hAnsi="Arial" w:cs="Arial"/>
        </w:rPr>
      </w:pPr>
      <w:r w:rsidRPr="00721C25">
        <w:rPr>
          <w:rFonts w:ascii="Arial" w:hAnsi="Arial" w:cs="Arial"/>
        </w:rPr>
        <w:t>The SAR sub group will be responsible for identifying which other sub groups will take responsibility for obtaining assurance on each aspect of the plan. This assurance will include confirmation that the required steps have been taken and the lessons learnt have been shared across organisations in C</w:t>
      </w:r>
      <w:r w:rsidR="00813D61">
        <w:rPr>
          <w:rFonts w:ascii="Arial" w:hAnsi="Arial" w:cs="Arial"/>
        </w:rPr>
        <w:t>amden</w:t>
      </w:r>
      <w:r w:rsidRPr="00721C25">
        <w:rPr>
          <w:rFonts w:ascii="Arial" w:hAnsi="Arial" w:cs="Arial"/>
        </w:rPr>
        <w:t>. These actions will be monitored by the SAR Sub</w:t>
      </w:r>
      <w:r w:rsidR="00C43000">
        <w:rPr>
          <w:rFonts w:ascii="Arial" w:hAnsi="Arial" w:cs="Arial"/>
        </w:rPr>
        <w:t>-</w:t>
      </w:r>
      <w:r w:rsidRPr="00721C25">
        <w:rPr>
          <w:rFonts w:ascii="Arial" w:hAnsi="Arial" w:cs="Arial"/>
        </w:rPr>
        <w:t xml:space="preserve"> </w:t>
      </w:r>
      <w:r w:rsidR="00C43000">
        <w:rPr>
          <w:rFonts w:ascii="Arial" w:hAnsi="Arial" w:cs="Arial"/>
        </w:rPr>
        <w:t>g</w:t>
      </w:r>
      <w:r w:rsidRPr="00721C25">
        <w:rPr>
          <w:rFonts w:ascii="Arial" w:hAnsi="Arial" w:cs="Arial"/>
        </w:rPr>
        <w:t xml:space="preserve">roup through the Board’s Strategic Plan. </w:t>
      </w:r>
    </w:p>
    <w:p w14:paraId="11576375" w14:textId="77777777" w:rsidR="00721C25" w:rsidRDefault="00721C25" w:rsidP="00721C25">
      <w:pPr>
        <w:pStyle w:val="NoSpacing"/>
        <w:rPr>
          <w:rFonts w:ascii="Arial" w:hAnsi="Arial" w:cs="Arial"/>
        </w:rPr>
      </w:pPr>
    </w:p>
    <w:p w14:paraId="608F3779" w14:textId="6A646F49" w:rsidR="00721C25" w:rsidRPr="00721C25" w:rsidRDefault="00721C25" w:rsidP="00721C25">
      <w:pPr>
        <w:pStyle w:val="NoSpacing"/>
        <w:rPr>
          <w:rFonts w:ascii="Arial" w:hAnsi="Arial" w:cs="Arial"/>
        </w:rPr>
      </w:pPr>
      <w:r w:rsidRPr="00721C25">
        <w:rPr>
          <w:rFonts w:ascii="Arial" w:hAnsi="Arial" w:cs="Arial"/>
        </w:rPr>
        <w:t xml:space="preserve">The Chair of the SAR </w:t>
      </w:r>
      <w:r w:rsidR="0028471F">
        <w:rPr>
          <w:rFonts w:ascii="Arial" w:hAnsi="Arial" w:cs="Arial"/>
        </w:rPr>
        <w:t>S</w:t>
      </w:r>
      <w:r w:rsidRPr="00721C25">
        <w:rPr>
          <w:rFonts w:ascii="Arial" w:hAnsi="Arial" w:cs="Arial"/>
        </w:rPr>
        <w:t>ub</w:t>
      </w:r>
      <w:r w:rsidR="0028471F">
        <w:rPr>
          <w:rFonts w:ascii="Arial" w:hAnsi="Arial" w:cs="Arial"/>
        </w:rPr>
        <w:t>-</w:t>
      </w:r>
      <w:r w:rsidRPr="00721C25">
        <w:rPr>
          <w:rFonts w:ascii="Arial" w:hAnsi="Arial" w:cs="Arial"/>
        </w:rPr>
        <w:t xml:space="preserve">group will provide updates to </w:t>
      </w:r>
      <w:r w:rsidR="0028471F">
        <w:rPr>
          <w:rFonts w:ascii="Arial" w:hAnsi="Arial" w:cs="Arial"/>
        </w:rPr>
        <w:t xml:space="preserve">the SAPB </w:t>
      </w:r>
      <w:r w:rsidRPr="00721C25">
        <w:rPr>
          <w:rFonts w:ascii="Arial" w:hAnsi="Arial" w:cs="Arial"/>
        </w:rPr>
        <w:t>on the progress of the action</w:t>
      </w:r>
      <w:r>
        <w:rPr>
          <w:rFonts w:ascii="Arial" w:hAnsi="Arial" w:cs="Arial"/>
        </w:rPr>
        <w:t xml:space="preserve"> </w:t>
      </w:r>
      <w:r w:rsidRPr="00721C25">
        <w:rPr>
          <w:rFonts w:ascii="Arial" w:hAnsi="Arial" w:cs="Arial"/>
        </w:rPr>
        <w:t>plan and agree with SA</w:t>
      </w:r>
      <w:r w:rsidR="0028471F">
        <w:rPr>
          <w:rFonts w:ascii="Arial" w:hAnsi="Arial" w:cs="Arial"/>
        </w:rPr>
        <w:t>P</w:t>
      </w:r>
      <w:r w:rsidRPr="00721C25">
        <w:rPr>
          <w:rFonts w:ascii="Arial" w:hAnsi="Arial" w:cs="Arial"/>
        </w:rPr>
        <w:t>B when a review should be closed further to all actions completed.</w:t>
      </w:r>
    </w:p>
    <w:p w14:paraId="71501118" w14:textId="77777777" w:rsidR="00924F6A" w:rsidRDefault="00924F6A" w:rsidP="00610BF9">
      <w:pPr>
        <w:pStyle w:val="NoSpacing"/>
        <w:rPr>
          <w:rFonts w:ascii="Arial" w:hAnsi="Arial" w:cs="Arial"/>
        </w:rPr>
      </w:pPr>
    </w:p>
    <w:p w14:paraId="27ACB464" w14:textId="77777777" w:rsidR="00924F6A" w:rsidRPr="00FE1047" w:rsidRDefault="00924F6A" w:rsidP="00610BF9">
      <w:pPr>
        <w:pStyle w:val="NoSpacing"/>
        <w:rPr>
          <w:rFonts w:ascii="Arial" w:hAnsi="Arial" w:cs="Arial"/>
          <w:b/>
        </w:rPr>
      </w:pPr>
    </w:p>
    <w:p w14:paraId="27911EBF" w14:textId="6F48244D" w:rsidR="0052158D" w:rsidRPr="00FE1047" w:rsidRDefault="0052158D" w:rsidP="004C4A29">
      <w:pPr>
        <w:pStyle w:val="NoSpacing"/>
        <w:numPr>
          <w:ilvl w:val="0"/>
          <w:numId w:val="15"/>
        </w:numPr>
        <w:rPr>
          <w:rFonts w:ascii="Arial" w:hAnsi="Arial" w:cs="Arial"/>
          <w:b/>
        </w:rPr>
      </w:pPr>
      <w:r w:rsidRPr="00FE1047">
        <w:rPr>
          <w:rFonts w:ascii="Arial" w:hAnsi="Arial" w:cs="Arial"/>
          <w:b/>
        </w:rPr>
        <w:t>Methodolog</w:t>
      </w:r>
      <w:r w:rsidR="00FF013F" w:rsidRPr="00FE1047">
        <w:rPr>
          <w:rFonts w:ascii="Arial" w:hAnsi="Arial" w:cs="Arial"/>
          <w:b/>
        </w:rPr>
        <w:t>ies</w:t>
      </w:r>
    </w:p>
    <w:p w14:paraId="055544A1" w14:textId="77777777" w:rsidR="00FF013F" w:rsidRDefault="00FF013F" w:rsidP="00610BF9">
      <w:pPr>
        <w:pStyle w:val="NoSpacing"/>
        <w:rPr>
          <w:rFonts w:ascii="Arial" w:hAnsi="Arial" w:cs="Arial"/>
        </w:rPr>
      </w:pPr>
    </w:p>
    <w:p w14:paraId="333693A7" w14:textId="1EE8C6D6" w:rsidR="00FF013F" w:rsidRDefault="00FF013F" w:rsidP="00610BF9">
      <w:pPr>
        <w:pStyle w:val="NoSpacing"/>
        <w:rPr>
          <w:rFonts w:ascii="Arial" w:hAnsi="Arial" w:cs="Arial"/>
        </w:rPr>
      </w:pPr>
      <w:r w:rsidRPr="00FF013F">
        <w:rPr>
          <w:rFonts w:ascii="Arial" w:hAnsi="Arial" w:cs="Arial"/>
        </w:rPr>
        <w:t xml:space="preserve">Best practice suggests that a range of different methodologies should be available to learn from cases. The SAR </w:t>
      </w:r>
      <w:r w:rsidR="004E4418">
        <w:rPr>
          <w:rFonts w:ascii="Arial" w:hAnsi="Arial" w:cs="Arial"/>
        </w:rPr>
        <w:t>Sub-group</w:t>
      </w:r>
      <w:r w:rsidRPr="00FF013F">
        <w:rPr>
          <w:rFonts w:ascii="Arial" w:hAnsi="Arial" w:cs="Arial"/>
        </w:rPr>
        <w:t xml:space="preserve"> will need to consider the various options and decide which approach is likely to provide the most learning. The methodology should be proportionate to the presenting circumstances.</w:t>
      </w:r>
      <w:r w:rsidR="00D81DE7">
        <w:rPr>
          <w:rFonts w:ascii="Arial" w:hAnsi="Arial" w:cs="Arial"/>
        </w:rPr>
        <w:t xml:space="preserve">  Below is a list of methodologies which is not intended to be exhaustive or to deter innovation:</w:t>
      </w:r>
    </w:p>
    <w:p w14:paraId="4FCB4C3A" w14:textId="77777777" w:rsidR="00FE1047" w:rsidRDefault="00FE1047" w:rsidP="00610BF9">
      <w:pPr>
        <w:pStyle w:val="NoSpacing"/>
        <w:rPr>
          <w:rFonts w:ascii="Arial" w:hAnsi="Arial" w:cs="Arial"/>
        </w:rPr>
      </w:pPr>
    </w:p>
    <w:p w14:paraId="45382FC0" w14:textId="77777777" w:rsidR="00FE1047" w:rsidRPr="00FE1047" w:rsidRDefault="00FE1047" w:rsidP="00910AE2">
      <w:pPr>
        <w:pStyle w:val="NoSpacing"/>
        <w:numPr>
          <w:ilvl w:val="0"/>
          <w:numId w:val="8"/>
        </w:numPr>
        <w:rPr>
          <w:rFonts w:ascii="Arial" w:hAnsi="Arial" w:cs="Arial"/>
        </w:rPr>
      </w:pPr>
      <w:r w:rsidRPr="00FE1047">
        <w:rPr>
          <w:rFonts w:ascii="Arial" w:hAnsi="Arial" w:cs="Arial"/>
        </w:rPr>
        <w:t xml:space="preserve">Traditional Serious Case Review </w:t>
      </w:r>
    </w:p>
    <w:p w14:paraId="178CBB0F" w14:textId="77777777" w:rsidR="00FE1047" w:rsidRPr="00FE1047" w:rsidRDefault="00FE1047" w:rsidP="00910AE2">
      <w:pPr>
        <w:pStyle w:val="NoSpacing"/>
        <w:numPr>
          <w:ilvl w:val="0"/>
          <w:numId w:val="8"/>
        </w:numPr>
        <w:rPr>
          <w:rFonts w:ascii="Arial" w:hAnsi="Arial" w:cs="Arial"/>
        </w:rPr>
      </w:pPr>
      <w:r w:rsidRPr="00FE1047">
        <w:rPr>
          <w:rFonts w:ascii="Arial" w:hAnsi="Arial" w:cs="Arial"/>
        </w:rPr>
        <w:t xml:space="preserve">Learning Together Review (including focussed/themed review); </w:t>
      </w:r>
    </w:p>
    <w:p w14:paraId="0CF0EDEB" w14:textId="77777777" w:rsidR="00FE1047" w:rsidRPr="00FE1047" w:rsidRDefault="00FE1047" w:rsidP="00910AE2">
      <w:pPr>
        <w:pStyle w:val="NoSpacing"/>
        <w:numPr>
          <w:ilvl w:val="0"/>
          <w:numId w:val="8"/>
        </w:numPr>
        <w:rPr>
          <w:rFonts w:ascii="Arial" w:hAnsi="Arial" w:cs="Arial"/>
        </w:rPr>
      </w:pPr>
      <w:r w:rsidRPr="00FE1047">
        <w:rPr>
          <w:rFonts w:ascii="Arial" w:hAnsi="Arial" w:cs="Arial"/>
        </w:rPr>
        <w:t xml:space="preserve">Appreciative Inquiry; </w:t>
      </w:r>
    </w:p>
    <w:p w14:paraId="11E3FE15" w14:textId="77777777" w:rsidR="00FE1047" w:rsidRPr="00FE1047" w:rsidRDefault="00FE1047" w:rsidP="00910AE2">
      <w:pPr>
        <w:pStyle w:val="NoSpacing"/>
        <w:numPr>
          <w:ilvl w:val="0"/>
          <w:numId w:val="8"/>
        </w:numPr>
        <w:rPr>
          <w:rFonts w:ascii="Arial" w:hAnsi="Arial" w:cs="Arial"/>
        </w:rPr>
      </w:pPr>
      <w:r w:rsidRPr="00FE1047">
        <w:rPr>
          <w:rFonts w:ascii="Arial" w:hAnsi="Arial" w:cs="Arial"/>
        </w:rPr>
        <w:t xml:space="preserve">Significant </w:t>
      </w:r>
      <w:r w:rsidR="00BE37D9">
        <w:rPr>
          <w:rFonts w:ascii="Arial" w:hAnsi="Arial" w:cs="Arial"/>
        </w:rPr>
        <w:t>Event Analysis</w:t>
      </w:r>
      <w:r w:rsidRPr="00FE1047">
        <w:rPr>
          <w:rFonts w:ascii="Arial" w:hAnsi="Arial" w:cs="Arial"/>
        </w:rPr>
        <w:t xml:space="preserve"> </w:t>
      </w:r>
    </w:p>
    <w:p w14:paraId="72971776" w14:textId="77777777" w:rsidR="00FE1047" w:rsidRPr="00FE1047" w:rsidRDefault="00FE1047" w:rsidP="00FE1047">
      <w:pPr>
        <w:pStyle w:val="NoSpacing"/>
        <w:rPr>
          <w:rFonts w:ascii="Arial" w:hAnsi="Arial" w:cs="Arial"/>
        </w:rPr>
      </w:pPr>
    </w:p>
    <w:p w14:paraId="296BEDAC" w14:textId="357C988B" w:rsidR="00FE1047" w:rsidRDefault="00FE1047" w:rsidP="00FE1047">
      <w:pPr>
        <w:pStyle w:val="NoSpacing"/>
        <w:rPr>
          <w:rFonts w:ascii="Arial" w:hAnsi="Arial" w:cs="Arial"/>
        </w:rPr>
      </w:pPr>
      <w:r w:rsidRPr="00FE1047">
        <w:rPr>
          <w:rFonts w:ascii="Arial" w:hAnsi="Arial" w:cs="Arial"/>
        </w:rPr>
        <w:t xml:space="preserve">All review methodologies outlined have some degree of flexibility. </w:t>
      </w:r>
      <w:r w:rsidR="00D81DE7">
        <w:rPr>
          <w:rFonts w:ascii="Arial" w:hAnsi="Arial" w:cs="Arial"/>
        </w:rPr>
        <w:t xml:space="preserve">The </w:t>
      </w:r>
      <w:hyperlink r:id="rId16" w:history="1">
        <w:r w:rsidR="00D81DE7" w:rsidRPr="00984839">
          <w:rPr>
            <w:rStyle w:val="Hyperlink"/>
            <w:rFonts w:ascii="Arial" w:hAnsi="Arial" w:cs="Arial"/>
          </w:rPr>
          <w:t>Decision</w:t>
        </w:r>
      </w:hyperlink>
      <w:r w:rsidR="00D81DE7" w:rsidRPr="00984839">
        <w:rPr>
          <w:rFonts w:ascii="Arial" w:hAnsi="Arial" w:cs="Arial"/>
        </w:rPr>
        <w:t xml:space="preserve"> Tree </w:t>
      </w:r>
      <w:r w:rsidRPr="00FE1047">
        <w:rPr>
          <w:rFonts w:ascii="Arial" w:hAnsi="Arial" w:cs="Arial"/>
        </w:rPr>
        <w:t xml:space="preserve">includes more information about </w:t>
      </w:r>
      <w:r w:rsidR="00D81DE7">
        <w:rPr>
          <w:rFonts w:ascii="Arial" w:hAnsi="Arial" w:cs="Arial"/>
        </w:rPr>
        <w:t>e</w:t>
      </w:r>
      <w:r w:rsidRPr="00FE1047">
        <w:rPr>
          <w:rFonts w:ascii="Arial" w:hAnsi="Arial" w:cs="Arial"/>
        </w:rPr>
        <w:t>ach of the above methodologies</w:t>
      </w:r>
      <w:r w:rsidR="00D81DE7">
        <w:rPr>
          <w:rFonts w:ascii="Arial" w:hAnsi="Arial" w:cs="Arial"/>
        </w:rPr>
        <w:t>.</w:t>
      </w:r>
    </w:p>
    <w:p w14:paraId="2C89B73A" w14:textId="77777777" w:rsidR="009713A9" w:rsidRDefault="009713A9" w:rsidP="00FE1047">
      <w:pPr>
        <w:pStyle w:val="NoSpacing"/>
        <w:rPr>
          <w:rFonts w:ascii="Arial" w:hAnsi="Arial" w:cs="Arial"/>
        </w:rPr>
      </w:pPr>
    </w:p>
    <w:p w14:paraId="3A46FA72" w14:textId="11AFC458" w:rsidR="009713A9" w:rsidRPr="009713A9" w:rsidRDefault="009713A9" w:rsidP="004C4A29">
      <w:pPr>
        <w:pStyle w:val="NoSpacing"/>
        <w:numPr>
          <w:ilvl w:val="0"/>
          <w:numId w:val="15"/>
        </w:numPr>
        <w:rPr>
          <w:rFonts w:ascii="Arial" w:hAnsi="Arial" w:cs="Arial"/>
          <w:b/>
        </w:rPr>
      </w:pPr>
      <w:r w:rsidRPr="009713A9">
        <w:rPr>
          <w:rFonts w:ascii="Arial" w:hAnsi="Arial" w:cs="Arial"/>
          <w:b/>
        </w:rPr>
        <w:t xml:space="preserve">Commissioning a SAR </w:t>
      </w:r>
      <w:r w:rsidR="00751AC5">
        <w:rPr>
          <w:rFonts w:ascii="Arial" w:hAnsi="Arial" w:cs="Arial"/>
          <w:b/>
        </w:rPr>
        <w:t>Chair</w:t>
      </w:r>
      <w:r w:rsidRPr="009713A9">
        <w:rPr>
          <w:rFonts w:ascii="Arial" w:hAnsi="Arial" w:cs="Arial"/>
          <w:b/>
        </w:rPr>
        <w:t>/Author</w:t>
      </w:r>
    </w:p>
    <w:p w14:paraId="5002C11A" w14:textId="77777777" w:rsidR="00D81DE7" w:rsidRDefault="00D81DE7" w:rsidP="00FE1047">
      <w:pPr>
        <w:pStyle w:val="NoSpacing"/>
        <w:rPr>
          <w:rFonts w:ascii="Arial" w:hAnsi="Arial" w:cs="Arial"/>
          <w:b/>
        </w:rPr>
      </w:pPr>
    </w:p>
    <w:p w14:paraId="46FDA5FB" w14:textId="41FB6793" w:rsidR="00CF6227" w:rsidRDefault="009713A9" w:rsidP="009713A9">
      <w:pPr>
        <w:pStyle w:val="NoSpacing"/>
        <w:rPr>
          <w:rFonts w:ascii="Arial" w:hAnsi="Arial" w:cs="Arial"/>
        </w:rPr>
      </w:pPr>
      <w:r>
        <w:rPr>
          <w:rFonts w:ascii="Arial" w:hAnsi="Arial" w:cs="Arial"/>
        </w:rPr>
        <w:t xml:space="preserve">SARs must demonstrate </w:t>
      </w:r>
      <w:r w:rsidR="007177A1">
        <w:rPr>
          <w:rFonts w:ascii="Arial" w:hAnsi="Arial" w:cs="Arial"/>
        </w:rPr>
        <w:t>they are of high</w:t>
      </w:r>
      <w:r>
        <w:rPr>
          <w:rFonts w:ascii="Arial" w:hAnsi="Arial" w:cs="Arial"/>
        </w:rPr>
        <w:t xml:space="preserve"> quality and value for public money.</w:t>
      </w:r>
      <w:r w:rsidR="006D6A68">
        <w:rPr>
          <w:rFonts w:ascii="Arial" w:hAnsi="Arial" w:cs="Arial"/>
        </w:rPr>
        <w:t xml:space="preserve">  Where the methodology selected </w:t>
      </w:r>
      <w:r w:rsidR="00215966">
        <w:rPr>
          <w:rFonts w:ascii="Arial" w:hAnsi="Arial" w:cs="Arial"/>
        </w:rPr>
        <w:t>is suitable</w:t>
      </w:r>
      <w:r w:rsidR="006D6A68">
        <w:rPr>
          <w:rFonts w:ascii="Arial" w:hAnsi="Arial" w:cs="Arial"/>
        </w:rPr>
        <w:t>, an Independent Chair/Author with the appropriate expertise, may be agreed via reciprocal arrangements with other Boroughs.  The SAPB will seek to build a network of suitable expertise to support reciprocal arrangements through the professional networks of its partners.  Independent Chairs may be approached under reciprocal arrangements with the agreement of the SAR Sub-group and SAPB Chair.  A CV must be submitted for approval and the same quality markers agreed as with paid Independents</w:t>
      </w:r>
      <w:r w:rsidR="00112A9A">
        <w:rPr>
          <w:rFonts w:ascii="Arial" w:hAnsi="Arial" w:cs="Arial"/>
        </w:rPr>
        <w:t xml:space="preserve">.  The full </w:t>
      </w:r>
      <w:hyperlink r:id="rId17" w:history="1">
        <w:r w:rsidR="00112A9A" w:rsidRPr="00984839">
          <w:rPr>
            <w:rStyle w:val="Hyperlink"/>
            <w:rFonts w:ascii="Arial" w:hAnsi="Arial" w:cs="Arial"/>
          </w:rPr>
          <w:t>SCIE Quality Markers</w:t>
        </w:r>
      </w:hyperlink>
      <w:r w:rsidR="00112A9A">
        <w:rPr>
          <w:rFonts w:ascii="Arial" w:hAnsi="Arial" w:cs="Arial"/>
        </w:rPr>
        <w:t xml:space="preserve"> can be accessed </w:t>
      </w:r>
      <w:r w:rsidR="00C32A91">
        <w:rPr>
          <w:rFonts w:ascii="Arial" w:hAnsi="Arial" w:cs="Arial"/>
        </w:rPr>
        <w:t xml:space="preserve">via </w:t>
      </w:r>
      <w:r w:rsidR="00112A9A">
        <w:rPr>
          <w:rFonts w:ascii="Arial" w:hAnsi="Arial" w:cs="Arial"/>
        </w:rPr>
        <w:t>and a summary document can be accessed</w:t>
      </w:r>
      <w:r w:rsidR="00984839">
        <w:rPr>
          <w:rFonts w:ascii="Arial" w:hAnsi="Arial" w:cs="Arial"/>
        </w:rPr>
        <w:t>.</w:t>
      </w:r>
      <w:r w:rsidR="00F50582">
        <w:rPr>
          <w:rFonts w:ascii="Arial" w:hAnsi="Arial" w:cs="Arial"/>
        </w:rPr>
        <w:t xml:space="preserve"> </w:t>
      </w:r>
    </w:p>
    <w:p w14:paraId="13C84E15" w14:textId="77777777" w:rsidR="00CF6227" w:rsidRDefault="00CF6227" w:rsidP="009713A9">
      <w:pPr>
        <w:pStyle w:val="NoSpacing"/>
        <w:rPr>
          <w:rFonts w:ascii="Arial" w:hAnsi="Arial" w:cs="Arial"/>
        </w:rPr>
      </w:pPr>
    </w:p>
    <w:p w14:paraId="14B6EC8C" w14:textId="0BD55FC9" w:rsidR="009713A9" w:rsidRPr="009713A9" w:rsidRDefault="009713A9" w:rsidP="009713A9">
      <w:pPr>
        <w:pStyle w:val="NoSpacing"/>
        <w:rPr>
          <w:rFonts w:ascii="Arial" w:hAnsi="Arial" w:cs="Arial"/>
        </w:rPr>
      </w:pPr>
      <w:r>
        <w:rPr>
          <w:rFonts w:ascii="Arial" w:hAnsi="Arial" w:cs="Arial"/>
        </w:rPr>
        <w:t xml:space="preserve">Any SAR requiring </w:t>
      </w:r>
      <w:r w:rsidR="00123446">
        <w:rPr>
          <w:rFonts w:ascii="Arial" w:hAnsi="Arial" w:cs="Arial"/>
        </w:rPr>
        <w:t xml:space="preserve">payment </w:t>
      </w:r>
      <w:r w:rsidR="006D6A68">
        <w:rPr>
          <w:rFonts w:ascii="Arial" w:hAnsi="Arial" w:cs="Arial"/>
        </w:rPr>
        <w:t>of an</w:t>
      </w:r>
      <w:r>
        <w:rPr>
          <w:rFonts w:ascii="Arial" w:hAnsi="Arial" w:cs="Arial"/>
        </w:rPr>
        <w:t xml:space="preserve"> Independent </w:t>
      </w:r>
      <w:r w:rsidR="00751AC5">
        <w:rPr>
          <w:rFonts w:ascii="Arial" w:hAnsi="Arial" w:cs="Arial"/>
        </w:rPr>
        <w:t>Chair</w:t>
      </w:r>
      <w:r>
        <w:rPr>
          <w:rFonts w:ascii="Arial" w:hAnsi="Arial" w:cs="Arial"/>
        </w:rPr>
        <w:t xml:space="preserve">/ Author should aim to obtain at least three bids to evaluate.  </w:t>
      </w:r>
      <w:r w:rsidRPr="009713A9">
        <w:rPr>
          <w:rFonts w:ascii="Arial" w:hAnsi="Arial" w:cs="Arial"/>
        </w:rPr>
        <w:t>Contract Award will comprise of:</w:t>
      </w:r>
    </w:p>
    <w:p w14:paraId="489D7221" w14:textId="77777777" w:rsidR="009713A9" w:rsidRDefault="009713A9" w:rsidP="009713A9">
      <w:pPr>
        <w:pStyle w:val="NoSpacing"/>
        <w:rPr>
          <w:rFonts w:ascii="Arial" w:hAnsi="Arial" w:cs="Arial"/>
        </w:rPr>
      </w:pPr>
    </w:p>
    <w:p w14:paraId="5B302976" w14:textId="77777777" w:rsidR="009713A9" w:rsidRPr="009713A9" w:rsidRDefault="009713A9" w:rsidP="009713A9">
      <w:pPr>
        <w:pStyle w:val="NoSpacing"/>
        <w:numPr>
          <w:ilvl w:val="0"/>
          <w:numId w:val="11"/>
        </w:numPr>
        <w:rPr>
          <w:rFonts w:ascii="Arial" w:hAnsi="Arial" w:cs="Arial"/>
        </w:rPr>
      </w:pPr>
      <w:r w:rsidRPr="009713A9">
        <w:rPr>
          <w:rFonts w:ascii="Arial" w:hAnsi="Arial" w:cs="Arial"/>
        </w:rPr>
        <w:t>Quality evaluation: evaluation of all non-financial elements of the Quality Questionnaire/ Method Statement</w:t>
      </w:r>
    </w:p>
    <w:p w14:paraId="61B38D06" w14:textId="30A35BF9" w:rsidR="009713A9" w:rsidRPr="009713A9" w:rsidRDefault="009713A9" w:rsidP="009713A9">
      <w:pPr>
        <w:pStyle w:val="NoSpacing"/>
        <w:numPr>
          <w:ilvl w:val="0"/>
          <w:numId w:val="11"/>
        </w:numPr>
        <w:rPr>
          <w:rFonts w:ascii="Arial" w:hAnsi="Arial" w:cs="Arial"/>
        </w:rPr>
      </w:pPr>
      <w:r w:rsidRPr="009713A9">
        <w:rPr>
          <w:rFonts w:ascii="Arial" w:hAnsi="Arial" w:cs="Arial"/>
        </w:rPr>
        <w:t>Pricing evaluation: evaluation of financial information in the pricing schedule</w:t>
      </w:r>
    </w:p>
    <w:p w14:paraId="4036145E" w14:textId="77777777" w:rsidR="009713A9" w:rsidRPr="009713A9" w:rsidRDefault="009713A9" w:rsidP="009713A9">
      <w:pPr>
        <w:pStyle w:val="NoSpacing"/>
        <w:ind w:firstLine="120"/>
        <w:rPr>
          <w:rFonts w:ascii="Arial" w:hAnsi="Arial" w:cs="Arial"/>
        </w:rPr>
      </w:pPr>
    </w:p>
    <w:p w14:paraId="75B83748" w14:textId="72496593" w:rsidR="00E34919" w:rsidRPr="009713A9" w:rsidRDefault="009713A9" w:rsidP="00FE1047">
      <w:pPr>
        <w:pStyle w:val="NoSpacing"/>
        <w:rPr>
          <w:rFonts w:ascii="Arial" w:hAnsi="Arial" w:cs="Arial"/>
        </w:rPr>
      </w:pPr>
      <w:r w:rsidRPr="009713A9">
        <w:rPr>
          <w:rFonts w:ascii="Arial" w:hAnsi="Arial" w:cs="Arial"/>
        </w:rPr>
        <w:t xml:space="preserve"> </w:t>
      </w:r>
      <w:r w:rsidR="009654C2">
        <w:rPr>
          <w:rFonts w:ascii="Arial" w:hAnsi="Arial" w:cs="Arial"/>
        </w:rPr>
        <w:t xml:space="preserve">A scoring template </w:t>
      </w:r>
      <w:r w:rsidR="006D6A68">
        <w:rPr>
          <w:rFonts w:ascii="Arial" w:hAnsi="Arial" w:cs="Arial"/>
        </w:rPr>
        <w:t xml:space="preserve">can be accessed via </w:t>
      </w:r>
      <w:hyperlink r:id="rId18" w:history="1">
        <w:r w:rsidR="00F50582" w:rsidRPr="00984839">
          <w:rPr>
            <w:rStyle w:val="Hyperlink"/>
            <w:rFonts w:ascii="Arial" w:hAnsi="Arial" w:cs="Arial"/>
          </w:rPr>
          <w:t>SAR Author Evaluation</w:t>
        </w:r>
      </w:hyperlink>
      <w:r w:rsidR="00F50582">
        <w:rPr>
          <w:rFonts w:ascii="Arial" w:hAnsi="Arial" w:cs="Arial"/>
        </w:rPr>
        <w:t xml:space="preserve"> </w:t>
      </w:r>
    </w:p>
    <w:p w14:paraId="372DBCE4" w14:textId="77777777" w:rsidR="009713A9" w:rsidRDefault="009713A9" w:rsidP="00FE1047">
      <w:pPr>
        <w:pStyle w:val="NoSpacing"/>
        <w:rPr>
          <w:rFonts w:ascii="Arial" w:hAnsi="Arial" w:cs="Arial"/>
          <w:b/>
        </w:rPr>
      </w:pPr>
    </w:p>
    <w:p w14:paraId="1C4DDF7A" w14:textId="42AF6906" w:rsidR="005F5A2A" w:rsidRPr="005F5A2A" w:rsidRDefault="005F5A2A" w:rsidP="005F5A2A">
      <w:pPr>
        <w:pStyle w:val="NoSpacing"/>
        <w:rPr>
          <w:rFonts w:ascii="Arial" w:hAnsi="Arial" w:cs="Arial"/>
        </w:rPr>
      </w:pPr>
      <w:r w:rsidRPr="005F5A2A">
        <w:rPr>
          <w:rFonts w:ascii="Arial" w:hAnsi="Arial" w:cs="Arial"/>
        </w:rPr>
        <w:t xml:space="preserve">Once the report is written, the person leading the review is responsible for seeking agreement from all contributing agencies that they are satisfied that the report reflects the information shared and discussions held as part of the review. If it is not possible to obtain </w:t>
      </w:r>
      <w:r w:rsidRPr="005F5A2A">
        <w:rPr>
          <w:rFonts w:ascii="Arial" w:hAnsi="Arial" w:cs="Arial"/>
        </w:rPr>
        <w:lastRenderedPageBreak/>
        <w:t>agreement, the person leading the review has the final decision on what is written. The Chair of the S</w:t>
      </w:r>
      <w:r w:rsidR="00751AC5">
        <w:rPr>
          <w:rFonts w:ascii="Arial" w:hAnsi="Arial" w:cs="Arial"/>
        </w:rPr>
        <w:t>APB</w:t>
      </w:r>
      <w:r w:rsidRPr="005F5A2A">
        <w:rPr>
          <w:rFonts w:ascii="Arial" w:hAnsi="Arial" w:cs="Arial"/>
        </w:rPr>
        <w:t xml:space="preserve"> should be notified where agreement has not been obtained from all agencies </w:t>
      </w:r>
    </w:p>
    <w:p w14:paraId="7283096F" w14:textId="77777777" w:rsidR="005F5A2A" w:rsidRDefault="005F5A2A" w:rsidP="005F5A2A">
      <w:pPr>
        <w:pStyle w:val="NoSpacing"/>
        <w:rPr>
          <w:rFonts w:ascii="Arial" w:hAnsi="Arial" w:cs="Arial"/>
        </w:rPr>
      </w:pPr>
    </w:p>
    <w:p w14:paraId="280DD76B" w14:textId="77777777" w:rsidR="005F5A2A" w:rsidRPr="005F5A2A" w:rsidRDefault="005F5A2A" w:rsidP="005F5A2A">
      <w:pPr>
        <w:pStyle w:val="NoSpacing"/>
        <w:rPr>
          <w:rFonts w:ascii="Arial" w:hAnsi="Arial" w:cs="Arial"/>
        </w:rPr>
      </w:pPr>
      <w:r w:rsidRPr="005F5A2A">
        <w:rPr>
          <w:rFonts w:ascii="Arial" w:hAnsi="Arial" w:cs="Arial"/>
        </w:rPr>
        <w:t>The person leading the review is also responsible for</w:t>
      </w:r>
      <w:r w:rsidR="0008665A">
        <w:rPr>
          <w:rFonts w:ascii="Arial" w:hAnsi="Arial" w:cs="Arial"/>
        </w:rPr>
        <w:t>:</w:t>
      </w:r>
      <w:r w:rsidRPr="005F5A2A">
        <w:rPr>
          <w:rFonts w:ascii="Arial" w:hAnsi="Arial" w:cs="Arial"/>
        </w:rPr>
        <w:t xml:space="preserve"> </w:t>
      </w:r>
    </w:p>
    <w:p w14:paraId="360DF385" w14:textId="3999B1F8" w:rsidR="005F5A2A" w:rsidRPr="005F5A2A" w:rsidRDefault="005F5A2A" w:rsidP="00031E08">
      <w:pPr>
        <w:pStyle w:val="NoSpacing"/>
        <w:numPr>
          <w:ilvl w:val="0"/>
          <w:numId w:val="7"/>
        </w:numPr>
        <w:rPr>
          <w:rFonts w:ascii="Arial" w:hAnsi="Arial" w:cs="Arial"/>
        </w:rPr>
      </w:pPr>
      <w:r w:rsidRPr="005F5A2A">
        <w:rPr>
          <w:rFonts w:ascii="Arial" w:hAnsi="Arial" w:cs="Arial"/>
        </w:rPr>
        <w:t xml:space="preserve">Agreeing with the SAR </w:t>
      </w:r>
      <w:r w:rsidR="00C03A0F">
        <w:rPr>
          <w:rFonts w:ascii="Arial" w:hAnsi="Arial" w:cs="Arial"/>
        </w:rPr>
        <w:t>S</w:t>
      </w:r>
      <w:r w:rsidRPr="005F5A2A">
        <w:rPr>
          <w:rFonts w:ascii="Arial" w:hAnsi="Arial" w:cs="Arial"/>
        </w:rPr>
        <w:t>ub</w:t>
      </w:r>
      <w:r w:rsidR="00C03A0F">
        <w:rPr>
          <w:rFonts w:ascii="Arial" w:hAnsi="Arial" w:cs="Arial"/>
        </w:rPr>
        <w:t>-</w:t>
      </w:r>
      <w:r w:rsidRPr="005F5A2A">
        <w:rPr>
          <w:rFonts w:ascii="Arial" w:hAnsi="Arial" w:cs="Arial"/>
        </w:rPr>
        <w:t>group Chair and the SA</w:t>
      </w:r>
      <w:r>
        <w:rPr>
          <w:rFonts w:ascii="Arial" w:hAnsi="Arial" w:cs="Arial"/>
        </w:rPr>
        <w:t>P</w:t>
      </w:r>
      <w:r w:rsidRPr="005F5A2A">
        <w:rPr>
          <w:rFonts w:ascii="Arial" w:hAnsi="Arial" w:cs="Arial"/>
        </w:rPr>
        <w:t xml:space="preserve">B Chair how the report will be shared with </w:t>
      </w:r>
      <w:r w:rsidR="00C03A0F">
        <w:rPr>
          <w:rFonts w:ascii="Arial" w:hAnsi="Arial" w:cs="Arial"/>
        </w:rPr>
        <w:t>SAPB</w:t>
      </w:r>
      <w:r w:rsidRPr="005F5A2A">
        <w:rPr>
          <w:rFonts w:ascii="Arial" w:hAnsi="Arial" w:cs="Arial"/>
        </w:rPr>
        <w:t xml:space="preserve"> members and the individual and/or family </w:t>
      </w:r>
    </w:p>
    <w:p w14:paraId="50441260" w14:textId="77777777" w:rsidR="005F5A2A" w:rsidRDefault="005F5A2A" w:rsidP="00031E08">
      <w:pPr>
        <w:pStyle w:val="NoSpacing"/>
        <w:numPr>
          <w:ilvl w:val="0"/>
          <w:numId w:val="7"/>
        </w:numPr>
        <w:rPr>
          <w:rFonts w:ascii="Arial" w:hAnsi="Arial" w:cs="Arial"/>
        </w:rPr>
      </w:pPr>
      <w:r w:rsidRPr="005F5A2A">
        <w:rPr>
          <w:rFonts w:ascii="Arial" w:hAnsi="Arial" w:cs="Arial"/>
        </w:rPr>
        <w:t>Participating in any agreed communication arrangements regarding the report, including public information.</w:t>
      </w:r>
    </w:p>
    <w:p w14:paraId="5E81DDA4" w14:textId="77777777" w:rsidR="00D03D34" w:rsidRDefault="00D03D34" w:rsidP="005F5A2A">
      <w:pPr>
        <w:pStyle w:val="NoSpacing"/>
        <w:rPr>
          <w:rFonts w:ascii="Arial" w:hAnsi="Arial" w:cs="Arial"/>
        </w:rPr>
      </w:pPr>
    </w:p>
    <w:p w14:paraId="5807BB6C" w14:textId="739AD61B" w:rsidR="004D5F80" w:rsidRDefault="004D5F80" w:rsidP="005F5A2A">
      <w:pPr>
        <w:pStyle w:val="NoSpacing"/>
        <w:rPr>
          <w:rFonts w:ascii="Arial" w:hAnsi="Arial" w:cs="Arial"/>
          <w:b/>
        </w:rPr>
      </w:pPr>
    </w:p>
    <w:p w14:paraId="3720C494" w14:textId="37C19963" w:rsidR="00D03D34" w:rsidRDefault="00D03D34" w:rsidP="004C4A29">
      <w:pPr>
        <w:pStyle w:val="NoSpacing"/>
        <w:numPr>
          <w:ilvl w:val="0"/>
          <w:numId w:val="15"/>
        </w:numPr>
        <w:rPr>
          <w:rFonts w:ascii="Arial" w:hAnsi="Arial" w:cs="Arial"/>
          <w:b/>
        </w:rPr>
      </w:pPr>
      <w:r w:rsidRPr="00D03D34">
        <w:rPr>
          <w:rFonts w:ascii="Arial" w:hAnsi="Arial" w:cs="Arial"/>
          <w:b/>
        </w:rPr>
        <w:t xml:space="preserve">Information </w:t>
      </w:r>
      <w:r w:rsidR="0008665A">
        <w:rPr>
          <w:rFonts w:ascii="Arial" w:hAnsi="Arial" w:cs="Arial"/>
          <w:b/>
        </w:rPr>
        <w:t xml:space="preserve">Sharing </w:t>
      </w:r>
      <w:r>
        <w:rPr>
          <w:rFonts w:ascii="Arial" w:hAnsi="Arial" w:cs="Arial"/>
          <w:b/>
        </w:rPr>
        <w:t>and Partnership Working</w:t>
      </w:r>
    </w:p>
    <w:p w14:paraId="7F224019" w14:textId="77777777" w:rsidR="0008665A" w:rsidRDefault="0008665A" w:rsidP="0008665A">
      <w:pPr>
        <w:pStyle w:val="NoSpacing"/>
        <w:rPr>
          <w:rFonts w:ascii="Arial" w:hAnsi="Arial" w:cs="Arial"/>
          <w:b/>
        </w:rPr>
      </w:pPr>
    </w:p>
    <w:p w14:paraId="6001F338" w14:textId="0EDA7FAC" w:rsidR="0008665A" w:rsidRPr="0008665A" w:rsidRDefault="0008665A" w:rsidP="0008665A">
      <w:pPr>
        <w:pStyle w:val="NoSpacing"/>
        <w:rPr>
          <w:rFonts w:ascii="Arial" w:hAnsi="Arial" w:cs="Arial"/>
        </w:rPr>
      </w:pPr>
      <w:r w:rsidRPr="0008665A">
        <w:rPr>
          <w:rFonts w:ascii="Arial" w:hAnsi="Arial" w:cs="Arial"/>
        </w:rPr>
        <w:t>Section 44.5</w:t>
      </w:r>
      <w:r w:rsidR="004D5F80">
        <w:rPr>
          <w:rFonts w:ascii="Arial" w:hAnsi="Arial" w:cs="Arial"/>
        </w:rPr>
        <w:t xml:space="preserve"> of the Care Act</w:t>
      </w:r>
      <w:r w:rsidR="004640FF">
        <w:rPr>
          <w:rStyle w:val="FootnoteReference"/>
          <w:rFonts w:ascii="Arial" w:hAnsi="Arial" w:cs="Arial"/>
        </w:rPr>
        <w:footnoteReference w:id="4"/>
      </w:r>
      <w:r w:rsidR="004D5F80">
        <w:rPr>
          <w:rFonts w:ascii="Arial" w:hAnsi="Arial" w:cs="Arial"/>
        </w:rPr>
        <w:t xml:space="preserve"> </w:t>
      </w:r>
      <w:r w:rsidRPr="0008665A">
        <w:rPr>
          <w:rFonts w:ascii="Arial" w:hAnsi="Arial" w:cs="Arial"/>
        </w:rPr>
        <w:t xml:space="preserve">requires organisations and partners represented on the SAPB to co-operate in and contribute to the carrying out of a SAR with a view to identifying the improvements required from the adult’s case and applying those lessons to future cases. </w:t>
      </w:r>
    </w:p>
    <w:p w14:paraId="45DC9A2A" w14:textId="77777777" w:rsidR="0008665A" w:rsidRDefault="0008665A" w:rsidP="0008665A">
      <w:pPr>
        <w:pStyle w:val="NoSpacing"/>
        <w:rPr>
          <w:rFonts w:ascii="Arial" w:hAnsi="Arial" w:cs="Arial"/>
        </w:rPr>
      </w:pPr>
    </w:p>
    <w:p w14:paraId="3B130989" w14:textId="77777777" w:rsidR="0008665A" w:rsidRPr="0008665A" w:rsidRDefault="0008665A" w:rsidP="0008665A">
      <w:pPr>
        <w:pStyle w:val="NoSpacing"/>
        <w:rPr>
          <w:rFonts w:ascii="Arial" w:hAnsi="Arial" w:cs="Arial"/>
        </w:rPr>
      </w:pPr>
      <w:r w:rsidRPr="0008665A">
        <w:rPr>
          <w:rFonts w:ascii="Arial" w:hAnsi="Arial" w:cs="Arial"/>
        </w:rPr>
        <w:t xml:space="preserve">Section 45 of the Care Act 2014 places a legal duty on any organisation or individual asked to provide relevant information to share what they know with SAPB or the person identified (i.e. the person leading the review). This section applies if the information being requested on behalf of the Board is to enable or assist it to perform its functions. Undertaking a SAR is a function of the Board and therefore s 45 applies to all requests for relevant information made as part of the Safeguarding Adults Review process. </w:t>
      </w:r>
    </w:p>
    <w:p w14:paraId="6461A329" w14:textId="77777777" w:rsidR="0008665A" w:rsidRPr="0008665A" w:rsidRDefault="0008665A" w:rsidP="0008665A">
      <w:pPr>
        <w:pStyle w:val="NoSpacing"/>
        <w:rPr>
          <w:rFonts w:ascii="Arial" w:hAnsi="Arial" w:cs="Arial"/>
        </w:rPr>
      </w:pPr>
    </w:p>
    <w:p w14:paraId="10BD464C" w14:textId="77777777" w:rsidR="00D03D34" w:rsidRDefault="0008665A" w:rsidP="0008665A">
      <w:pPr>
        <w:pStyle w:val="NoSpacing"/>
        <w:rPr>
          <w:rFonts w:ascii="Arial" w:hAnsi="Arial" w:cs="Arial"/>
        </w:rPr>
      </w:pPr>
      <w:r w:rsidRPr="0008665A">
        <w:rPr>
          <w:rFonts w:ascii="Arial" w:hAnsi="Arial" w:cs="Arial"/>
        </w:rPr>
        <w:t>Note; In order to carry out functions the SAPB will need access to information a wide number of people and/or organisations hold. These may or may not be SAPB members. However, as above Section 45 places a legal duty for all requests to be responded to if the information is required in order for the SAPB to carry its duties, one of these being a SAR irrespective if the organisation are members or not to their local SAPB.</w:t>
      </w:r>
    </w:p>
    <w:p w14:paraId="483E8263" w14:textId="77777777" w:rsidR="006E0E54" w:rsidRDefault="006E0E54" w:rsidP="0008665A">
      <w:pPr>
        <w:pStyle w:val="NoSpacing"/>
        <w:rPr>
          <w:rFonts w:ascii="Arial" w:hAnsi="Arial" w:cs="Arial"/>
        </w:rPr>
      </w:pPr>
    </w:p>
    <w:p w14:paraId="211CF352" w14:textId="1DF6C733" w:rsidR="006E0E54" w:rsidRPr="0008665A" w:rsidRDefault="006E0E54" w:rsidP="0008665A">
      <w:pPr>
        <w:pStyle w:val="NoSpacing"/>
        <w:rPr>
          <w:rFonts w:ascii="Arial" w:hAnsi="Arial" w:cs="Arial"/>
        </w:rPr>
      </w:pPr>
      <w:r>
        <w:rPr>
          <w:rFonts w:ascii="Arial" w:hAnsi="Arial" w:cs="Arial"/>
        </w:rPr>
        <w:t>All information sh</w:t>
      </w:r>
      <w:r w:rsidR="00E53FBD">
        <w:rPr>
          <w:rFonts w:ascii="Arial" w:hAnsi="Arial" w:cs="Arial"/>
        </w:rPr>
        <w:t>a</w:t>
      </w:r>
      <w:r>
        <w:rPr>
          <w:rFonts w:ascii="Arial" w:hAnsi="Arial" w:cs="Arial"/>
        </w:rPr>
        <w:t>red with the SAPB will be managed in accordance with GDPR legislation</w:t>
      </w:r>
      <w:r w:rsidR="004640FF">
        <w:rPr>
          <w:rStyle w:val="FootnoteReference"/>
          <w:rFonts w:ascii="Arial" w:hAnsi="Arial" w:cs="Arial"/>
        </w:rPr>
        <w:footnoteReference w:id="5"/>
      </w:r>
    </w:p>
    <w:p w14:paraId="6EAF6515" w14:textId="77777777" w:rsidR="003821DC" w:rsidRPr="00994285" w:rsidRDefault="003821DC" w:rsidP="005F5A2A">
      <w:pPr>
        <w:pStyle w:val="NoSpacing"/>
        <w:rPr>
          <w:rFonts w:ascii="Arial" w:hAnsi="Arial" w:cs="Arial"/>
          <w:b/>
        </w:rPr>
      </w:pPr>
    </w:p>
    <w:p w14:paraId="59C5BDBB" w14:textId="6C2784A2" w:rsidR="003821DC" w:rsidRPr="00994285" w:rsidRDefault="00D03D34" w:rsidP="004C4A29">
      <w:pPr>
        <w:pStyle w:val="NoSpacing"/>
        <w:numPr>
          <w:ilvl w:val="0"/>
          <w:numId w:val="15"/>
        </w:numPr>
        <w:rPr>
          <w:rFonts w:ascii="Arial" w:hAnsi="Arial" w:cs="Arial"/>
          <w:b/>
        </w:rPr>
      </w:pPr>
      <w:r w:rsidRPr="00994285">
        <w:rPr>
          <w:rFonts w:ascii="Arial" w:hAnsi="Arial" w:cs="Arial"/>
          <w:b/>
        </w:rPr>
        <w:t xml:space="preserve">Involvement of Individuals and/or Families </w:t>
      </w:r>
    </w:p>
    <w:p w14:paraId="120C8661" w14:textId="77777777" w:rsidR="00994285" w:rsidRDefault="00994285" w:rsidP="00EC63D7">
      <w:pPr>
        <w:pStyle w:val="NoSpacing"/>
        <w:rPr>
          <w:rFonts w:ascii="Arial" w:hAnsi="Arial" w:cs="Arial"/>
          <w:b/>
        </w:rPr>
      </w:pPr>
    </w:p>
    <w:p w14:paraId="058BE9BE" w14:textId="77777777" w:rsidR="00994285" w:rsidRDefault="00E81D76" w:rsidP="00994285">
      <w:pPr>
        <w:pStyle w:val="NoSpacing"/>
        <w:rPr>
          <w:rFonts w:ascii="Arial" w:hAnsi="Arial" w:cs="Arial"/>
        </w:rPr>
      </w:pPr>
      <w:r>
        <w:rPr>
          <w:rFonts w:ascii="Arial" w:hAnsi="Arial" w:cs="Arial"/>
        </w:rPr>
        <w:t>The individual and/or their f</w:t>
      </w:r>
      <w:r w:rsidR="00994285" w:rsidRPr="00994285">
        <w:rPr>
          <w:rFonts w:ascii="Arial" w:hAnsi="Arial" w:cs="Arial"/>
        </w:rPr>
        <w:t>amil</w:t>
      </w:r>
      <w:r>
        <w:rPr>
          <w:rFonts w:ascii="Arial" w:hAnsi="Arial" w:cs="Arial"/>
        </w:rPr>
        <w:t>y,</w:t>
      </w:r>
      <w:r w:rsidR="00994285" w:rsidRPr="00994285">
        <w:rPr>
          <w:rFonts w:ascii="Arial" w:hAnsi="Arial" w:cs="Arial"/>
        </w:rPr>
        <w:t xml:space="preserve"> should be informed if a review is going to take place. They should be offered the opportunity of contributing to the review process, but how that is done will depend on the methodology used and the views of the family. </w:t>
      </w:r>
    </w:p>
    <w:p w14:paraId="6392E1D5" w14:textId="77777777" w:rsidR="00B735CE" w:rsidRDefault="00B735CE" w:rsidP="00994285">
      <w:pPr>
        <w:pStyle w:val="NoSpacing"/>
        <w:rPr>
          <w:rFonts w:ascii="Arial" w:hAnsi="Arial" w:cs="Arial"/>
        </w:rPr>
      </w:pPr>
    </w:p>
    <w:p w14:paraId="14EE90FB" w14:textId="0D7DA041" w:rsidR="00B735CE" w:rsidRPr="00994285" w:rsidRDefault="00B735CE" w:rsidP="00994285">
      <w:pPr>
        <w:pStyle w:val="NoSpacing"/>
        <w:rPr>
          <w:rFonts w:ascii="Arial" w:hAnsi="Arial" w:cs="Arial"/>
        </w:rPr>
      </w:pPr>
      <w:r w:rsidRPr="00B735CE">
        <w:rPr>
          <w:rFonts w:ascii="Arial" w:hAnsi="Arial" w:cs="Arial"/>
        </w:rPr>
        <w:t>Under section 68 of the Care Act 2014, an independent advocate must be arranged (where necessary) to represent and support an adult who is the subject of a SAR if it is judged they would experience substantial difficulty in participating in the review process and there is no other appropriate representative. Where an independent advocate has already been arranged under section 67 of the Care Act 2014 or under the Mental Capacity Act 2005</w:t>
      </w:r>
      <w:r w:rsidR="004640FF">
        <w:rPr>
          <w:rStyle w:val="FootnoteReference"/>
          <w:rFonts w:ascii="Arial" w:hAnsi="Arial" w:cs="Arial"/>
        </w:rPr>
        <w:footnoteReference w:id="6"/>
      </w:r>
      <w:r w:rsidRPr="00B735CE">
        <w:rPr>
          <w:rFonts w:ascii="Arial" w:hAnsi="Arial" w:cs="Arial"/>
        </w:rPr>
        <w:t xml:space="preserve"> then, unless inappropriate, the same advocate should be used.</w:t>
      </w:r>
    </w:p>
    <w:p w14:paraId="1F3CB68A" w14:textId="77777777" w:rsidR="00E81D76" w:rsidRDefault="00E81D76" w:rsidP="00994285">
      <w:pPr>
        <w:pStyle w:val="NoSpacing"/>
        <w:rPr>
          <w:rFonts w:ascii="Arial" w:hAnsi="Arial" w:cs="Arial"/>
        </w:rPr>
      </w:pPr>
    </w:p>
    <w:p w14:paraId="77339F4D" w14:textId="77777777" w:rsidR="00994285" w:rsidRPr="00994285" w:rsidRDefault="00994285" w:rsidP="00994285">
      <w:pPr>
        <w:pStyle w:val="NoSpacing"/>
        <w:rPr>
          <w:rFonts w:ascii="Arial" w:hAnsi="Arial" w:cs="Arial"/>
        </w:rPr>
      </w:pPr>
      <w:r w:rsidRPr="00994285">
        <w:rPr>
          <w:rFonts w:ascii="Arial" w:hAnsi="Arial" w:cs="Arial"/>
        </w:rPr>
        <w:t xml:space="preserve">It is the role of the person leading the review to ensure that an individual is identified to be the contact with the family or person. The person leading the review will also agree the manner in which family members or friends will contribute to the review if they wish to do so. </w:t>
      </w:r>
    </w:p>
    <w:p w14:paraId="12733EA4" w14:textId="77777777" w:rsidR="00E81D76" w:rsidRDefault="00E81D76" w:rsidP="00994285">
      <w:pPr>
        <w:pStyle w:val="NoSpacing"/>
        <w:rPr>
          <w:rFonts w:ascii="Arial" w:hAnsi="Arial" w:cs="Arial"/>
        </w:rPr>
      </w:pPr>
    </w:p>
    <w:p w14:paraId="6A36E22E" w14:textId="77777777" w:rsidR="00994285" w:rsidRPr="00994285" w:rsidRDefault="00E81D76" w:rsidP="00994285">
      <w:pPr>
        <w:pStyle w:val="NoSpacing"/>
        <w:rPr>
          <w:rFonts w:ascii="Arial" w:hAnsi="Arial" w:cs="Arial"/>
        </w:rPr>
      </w:pPr>
      <w:r>
        <w:rPr>
          <w:rFonts w:ascii="Arial" w:hAnsi="Arial" w:cs="Arial"/>
        </w:rPr>
        <w:t>T</w:t>
      </w:r>
      <w:r w:rsidR="00994285" w:rsidRPr="00994285">
        <w:rPr>
          <w:rFonts w:ascii="Arial" w:hAnsi="Arial" w:cs="Arial"/>
        </w:rPr>
        <w:t>he consent of the family or individual is not however required for a review to take place.</w:t>
      </w:r>
    </w:p>
    <w:p w14:paraId="568FFF49" w14:textId="77777777" w:rsidR="00994285" w:rsidRPr="00994285" w:rsidRDefault="00994285" w:rsidP="00EC63D7">
      <w:pPr>
        <w:pStyle w:val="NoSpacing"/>
        <w:rPr>
          <w:rFonts w:ascii="Arial" w:hAnsi="Arial" w:cs="Arial"/>
        </w:rPr>
      </w:pPr>
    </w:p>
    <w:p w14:paraId="6D418808" w14:textId="142B336C" w:rsidR="00EC63D7" w:rsidRPr="00D03D34" w:rsidRDefault="00EC63D7" w:rsidP="004C4A29">
      <w:pPr>
        <w:pStyle w:val="NoSpacing"/>
        <w:numPr>
          <w:ilvl w:val="0"/>
          <w:numId w:val="15"/>
        </w:numPr>
        <w:rPr>
          <w:rFonts w:ascii="Arial" w:hAnsi="Arial" w:cs="Arial"/>
          <w:b/>
        </w:rPr>
      </w:pPr>
      <w:r w:rsidRPr="00D03D34">
        <w:rPr>
          <w:rFonts w:ascii="Arial" w:hAnsi="Arial" w:cs="Arial"/>
          <w:b/>
        </w:rPr>
        <w:t xml:space="preserve">Responsibility to staff </w:t>
      </w:r>
    </w:p>
    <w:p w14:paraId="060C860F" w14:textId="77777777" w:rsidR="00EC63D7" w:rsidRDefault="00EC63D7" w:rsidP="00EC63D7">
      <w:pPr>
        <w:pStyle w:val="NoSpacing"/>
        <w:rPr>
          <w:rFonts w:ascii="Arial" w:hAnsi="Arial" w:cs="Arial"/>
        </w:rPr>
      </w:pPr>
    </w:p>
    <w:p w14:paraId="297F9756" w14:textId="77777777" w:rsidR="00EC63D7" w:rsidRDefault="00EC63D7" w:rsidP="00EC63D7">
      <w:pPr>
        <w:pStyle w:val="NoSpacing"/>
        <w:rPr>
          <w:rFonts w:ascii="Arial" w:hAnsi="Arial" w:cs="Arial"/>
        </w:rPr>
      </w:pPr>
      <w:r w:rsidRPr="00EC63D7">
        <w:rPr>
          <w:rFonts w:ascii="Arial" w:hAnsi="Arial" w:cs="Arial"/>
        </w:rPr>
        <w:t>Staff directly involved in working with an individual subject to a SAR should be notified by their employing agency that the decision has been made to undertake the review</w:t>
      </w:r>
      <w:r>
        <w:rPr>
          <w:rFonts w:ascii="Arial" w:hAnsi="Arial" w:cs="Arial"/>
        </w:rPr>
        <w:t xml:space="preserve">. </w:t>
      </w:r>
    </w:p>
    <w:p w14:paraId="1EDD8653" w14:textId="77777777" w:rsidR="00EC63D7" w:rsidRDefault="00EC63D7" w:rsidP="00EC63D7">
      <w:pPr>
        <w:pStyle w:val="NoSpacing"/>
        <w:rPr>
          <w:rFonts w:ascii="Arial" w:hAnsi="Arial" w:cs="Arial"/>
        </w:rPr>
      </w:pPr>
    </w:p>
    <w:p w14:paraId="3376EDF4" w14:textId="77777777" w:rsidR="00EC63D7" w:rsidRPr="00EC63D7" w:rsidRDefault="00EC63D7" w:rsidP="00EC63D7">
      <w:pPr>
        <w:pStyle w:val="NoSpacing"/>
        <w:rPr>
          <w:rFonts w:ascii="Arial" w:hAnsi="Arial" w:cs="Arial"/>
        </w:rPr>
      </w:pPr>
      <w:r w:rsidRPr="00EC63D7">
        <w:rPr>
          <w:rFonts w:ascii="Arial" w:hAnsi="Arial" w:cs="Arial"/>
        </w:rPr>
        <w:t>Information about the review process and how the staff members may be involved in the review should be fully explained by their employing organisation</w:t>
      </w:r>
      <w:r>
        <w:rPr>
          <w:rFonts w:ascii="Arial" w:hAnsi="Arial" w:cs="Arial"/>
        </w:rPr>
        <w:t xml:space="preserve"> </w:t>
      </w:r>
      <w:r w:rsidRPr="00EC63D7">
        <w:rPr>
          <w:rFonts w:ascii="Arial" w:hAnsi="Arial" w:cs="Arial"/>
        </w:rPr>
        <w:t xml:space="preserve">and a copy of the SAPB SAR leaflet for professionals provided. </w:t>
      </w:r>
    </w:p>
    <w:p w14:paraId="74936E46" w14:textId="77777777" w:rsidR="00EC63D7" w:rsidRPr="00EC63D7" w:rsidRDefault="00EC63D7" w:rsidP="00EC63D7">
      <w:pPr>
        <w:pStyle w:val="NoSpacing"/>
        <w:rPr>
          <w:rFonts w:ascii="Arial" w:hAnsi="Arial" w:cs="Arial"/>
        </w:rPr>
      </w:pPr>
      <w:r>
        <w:rPr>
          <w:rFonts w:ascii="Arial" w:hAnsi="Arial" w:cs="Arial"/>
        </w:rPr>
        <w:t xml:space="preserve"> </w:t>
      </w:r>
      <w:r w:rsidRPr="00EC63D7">
        <w:rPr>
          <w:rFonts w:ascii="Arial" w:hAnsi="Arial" w:cs="Arial"/>
        </w:rPr>
        <w:t xml:space="preserve">. </w:t>
      </w:r>
    </w:p>
    <w:p w14:paraId="56FA5BF4" w14:textId="77777777" w:rsidR="00EC63D7" w:rsidRDefault="00EC63D7" w:rsidP="00EC63D7">
      <w:pPr>
        <w:pStyle w:val="NoSpacing"/>
        <w:rPr>
          <w:rFonts w:ascii="Arial" w:hAnsi="Arial" w:cs="Arial"/>
        </w:rPr>
      </w:pPr>
      <w:r w:rsidRPr="00EC63D7">
        <w:rPr>
          <w:rFonts w:ascii="Arial" w:hAnsi="Arial" w:cs="Arial"/>
        </w:rPr>
        <w:t>Support to staff members should be provided by the employing agency/organisation in line with their HR</w:t>
      </w:r>
      <w:r>
        <w:rPr>
          <w:rFonts w:ascii="Arial" w:hAnsi="Arial" w:cs="Arial"/>
        </w:rPr>
        <w:t xml:space="preserve"> and supervision policy</w:t>
      </w:r>
      <w:r w:rsidRPr="00EC63D7">
        <w:rPr>
          <w:rFonts w:ascii="Arial" w:hAnsi="Arial" w:cs="Arial"/>
        </w:rPr>
        <w:t xml:space="preserve"> requirements. </w:t>
      </w:r>
    </w:p>
    <w:p w14:paraId="5DA68877" w14:textId="77777777" w:rsidR="000E0444" w:rsidRDefault="000E0444" w:rsidP="000E0444">
      <w:pPr>
        <w:pStyle w:val="NoSpacing"/>
        <w:rPr>
          <w:rFonts w:ascii="Arial" w:hAnsi="Arial" w:cs="Arial"/>
        </w:rPr>
      </w:pPr>
    </w:p>
    <w:p w14:paraId="38D44BB7" w14:textId="77777777" w:rsidR="0027073F" w:rsidRDefault="0027073F" w:rsidP="000E0444">
      <w:pPr>
        <w:pStyle w:val="NoSpacing"/>
        <w:rPr>
          <w:rFonts w:ascii="Arial" w:hAnsi="Arial" w:cs="Arial"/>
          <w:b/>
        </w:rPr>
      </w:pPr>
    </w:p>
    <w:p w14:paraId="58CE1B7D" w14:textId="5C37B3BF" w:rsidR="000E0444" w:rsidRPr="00D03D34" w:rsidRDefault="00A6569D" w:rsidP="004C4A29">
      <w:pPr>
        <w:pStyle w:val="NoSpacing"/>
        <w:numPr>
          <w:ilvl w:val="0"/>
          <w:numId w:val="15"/>
        </w:numPr>
        <w:rPr>
          <w:rFonts w:ascii="Arial" w:hAnsi="Arial" w:cs="Arial"/>
          <w:b/>
        </w:rPr>
      </w:pPr>
      <w:r>
        <w:rPr>
          <w:rFonts w:ascii="Arial" w:hAnsi="Arial" w:cs="Arial"/>
          <w:b/>
        </w:rPr>
        <w:t>1.1</w:t>
      </w:r>
      <w:r w:rsidR="00D612A8">
        <w:rPr>
          <w:rFonts w:ascii="Arial" w:hAnsi="Arial" w:cs="Arial"/>
          <w:b/>
        </w:rPr>
        <w:t xml:space="preserve"> </w:t>
      </w:r>
      <w:r w:rsidR="000E0444" w:rsidRPr="00D03D34">
        <w:rPr>
          <w:rFonts w:ascii="Arial" w:hAnsi="Arial" w:cs="Arial"/>
          <w:b/>
        </w:rPr>
        <w:t xml:space="preserve">Final Report and Action Plan </w:t>
      </w:r>
    </w:p>
    <w:p w14:paraId="76017794" w14:textId="77777777" w:rsidR="000E0444" w:rsidRDefault="000E0444" w:rsidP="000E0444">
      <w:pPr>
        <w:pStyle w:val="NoSpacing"/>
        <w:rPr>
          <w:rFonts w:ascii="Arial" w:hAnsi="Arial" w:cs="Arial"/>
        </w:rPr>
      </w:pPr>
    </w:p>
    <w:p w14:paraId="31555B8F" w14:textId="57943F9A" w:rsidR="000E0444" w:rsidRPr="000E0444" w:rsidRDefault="000E0444" w:rsidP="000E0444">
      <w:pPr>
        <w:pStyle w:val="NoSpacing"/>
        <w:rPr>
          <w:rFonts w:ascii="Arial" w:hAnsi="Arial" w:cs="Arial"/>
        </w:rPr>
      </w:pPr>
      <w:r w:rsidRPr="000E0444">
        <w:rPr>
          <w:rFonts w:ascii="Arial" w:hAnsi="Arial" w:cs="Arial"/>
        </w:rPr>
        <w:t>All SAR reports are owned by C</w:t>
      </w:r>
      <w:r>
        <w:rPr>
          <w:rFonts w:ascii="Arial" w:hAnsi="Arial" w:cs="Arial"/>
        </w:rPr>
        <w:t>amden</w:t>
      </w:r>
      <w:r w:rsidRPr="000E0444">
        <w:rPr>
          <w:rFonts w:ascii="Arial" w:hAnsi="Arial" w:cs="Arial"/>
        </w:rPr>
        <w:t xml:space="preserve"> S</w:t>
      </w:r>
      <w:r w:rsidR="004640FF">
        <w:rPr>
          <w:rFonts w:ascii="Arial" w:hAnsi="Arial" w:cs="Arial"/>
        </w:rPr>
        <w:t>APB</w:t>
      </w:r>
      <w:r w:rsidRPr="000E0444">
        <w:rPr>
          <w:rFonts w:ascii="Arial" w:hAnsi="Arial" w:cs="Arial"/>
        </w:rPr>
        <w:t xml:space="preserve">. The report and action plan are only final when accepted and approved by the Board. </w:t>
      </w:r>
    </w:p>
    <w:p w14:paraId="32A63AEB" w14:textId="77777777" w:rsidR="000E0444" w:rsidRDefault="000E0444" w:rsidP="000E0444">
      <w:pPr>
        <w:pStyle w:val="NoSpacing"/>
        <w:rPr>
          <w:rFonts w:ascii="Arial" w:hAnsi="Arial" w:cs="Arial"/>
        </w:rPr>
      </w:pPr>
    </w:p>
    <w:p w14:paraId="2E2F052A" w14:textId="77777777" w:rsidR="000E0444" w:rsidRPr="000E0444" w:rsidRDefault="000E0444" w:rsidP="000E0444">
      <w:pPr>
        <w:pStyle w:val="NoSpacing"/>
        <w:rPr>
          <w:rFonts w:ascii="Arial" w:hAnsi="Arial" w:cs="Arial"/>
        </w:rPr>
      </w:pPr>
      <w:r w:rsidRPr="000E0444">
        <w:rPr>
          <w:rFonts w:ascii="Arial" w:hAnsi="Arial" w:cs="Arial"/>
        </w:rPr>
        <w:t>Prior to publication SA</w:t>
      </w:r>
      <w:r>
        <w:rPr>
          <w:rFonts w:ascii="Arial" w:hAnsi="Arial" w:cs="Arial"/>
        </w:rPr>
        <w:t>P</w:t>
      </w:r>
      <w:r w:rsidRPr="000E0444">
        <w:rPr>
          <w:rFonts w:ascii="Arial" w:hAnsi="Arial" w:cs="Arial"/>
        </w:rPr>
        <w:t xml:space="preserve">B should consider the impact of publication and consult with partner Communication Leads. </w:t>
      </w:r>
    </w:p>
    <w:p w14:paraId="5CE5F426" w14:textId="77777777" w:rsidR="000E0444" w:rsidRDefault="000E0444" w:rsidP="000E0444">
      <w:pPr>
        <w:pStyle w:val="NoSpacing"/>
        <w:rPr>
          <w:rFonts w:ascii="Arial" w:hAnsi="Arial" w:cs="Arial"/>
        </w:rPr>
      </w:pPr>
    </w:p>
    <w:p w14:paraId="7CD4321D" w14:textId="77777777" w:rsidR="000E0444" w:rsidRPr="000E0444" w:rsidRDefault="000E0444" w:rsidP="000E0444">
      <w:pPr>
        <w:pStyle w:val="NoSpacing"/>
        <w:rPr>
          <w:rFonts w:ascii="Arial" w:hAnsi="Arial" w:cs="Arial"/>
        </w:rPr>
      </w:pPr>
      <w:r w:rsidRPr="000E0444">
        <w:rPr>
          <w:rFonts w:ascii="Arial" w:hAnsi="Arial" w:cs="Arial"/>
        </w:rPr>
        <w:t xml:space="preserve">The action plan will explicitly set out how agencies will evidence that actions have been completed and how the learning from the SAR will be embedded into practice. </w:t>
      </w:r>
    </w:p>
    <w:p w14:paraId="73937A58" w14:textId="77777777" w:rsidR="000E0444" w:rsidRDefault="000E0444" w:rsidP="000E0444">
      <w:pPr>
        <w:pStyle w:val="NoSpacing"/>
        <w:rPr>
          <w:rFonts w:ascii="Arial" w:hAnsi="Arial" w:cs="Arial"/>
        </w:rPr>
      </w:pPr>
    </w:p>
    <w:p w14:paraId="7BC96CE3" w14:textId="73797438" w:rsidR="000E0444" w:rsidRPr="000E0444" w:rsidRDefault="000E0444" w:rsidP="000E0444">
      <w:pPr>
        <w:pStyle w:val="NoSpacing"/>
        <w:rPr>
          <w:rFonts w:ascii="Arial" w:hAnsi="Arial" w:cs="Arial"/>
        </w:rPr>
      </w:pPr>
      <w:r>
        <w:rPr>
          <w:rFonts w:ascii="Arial" w:hAnsi="Arial" w:cs="Arial"/>
        </w:rPr>
        <w:t xml:space="preserve">The SAPB </w:t>
      </w:r>
      <w:r w:rsidRPr="000E0444">
        <w:rPr>
          <w:rFonts w:ascii="Arial" w:hAnsi="Arial" w:cs="Arial"/>
        </w:rPr>
        <w:t>will be provided with updates on the action plan</w:t>
      </w:r>
      <w:r w:rsidR="004640FF">
        <w:rPr>
          <w:rFonts w:ascii="Arial" w:hAnsi="Arial" w:cs="Arial"/>
        </w:rPr>
        <w:t xml:space="preserve"> by the SAR Sub-group.  A</w:t>
      </w:r>
      <w:r w:rsidRPr="000E0444">
        <w:rPr>
          <w:rFonts w:ascii="Arial" w:hAnsi="Arial" w:cs="Arial"/>
        </w:rPr>
        <w:t xml:space="preserve"> review will only be closed when the Board is satisfied that all the actions have been completed. </w:t>
      </w:r>
    </w:p>
    <w:p w14:paraId="79634875" w14:textId="190FE673" w:rsidR="000E0444" w:rsidRPr="000E0444" w:rsidRDefault="000E0444" w:rsidP="000E0444">
      <w:pPr>
        <w:pStyle w:val="NoSpacing"/>
        <w:rPr>
          <w:rFonts w:ascii="Arial" w:hAnsi="Arial" w:cs="Arial"/>
        </w:rPr>
      </w:pPr>
      <w:r w:rsidRPr="000E0444">
        <w:rPr>
          <w:rFonts w:ascii="Arial" w:hAnsi="Arial" w:cs="Arial"/>
        </w:rPr>
        <w:t xml:space="preserve">SAR </w:t>
      </w:r>
      <w:r w:rsidR="00FB015A">
        <w:rPr>
          <w:rFonts w:ascii="Arial" w:hAnsi="Arial" w:cs="Arial"/>
        </w:rPr>
        <w:t xml:space="preserve">overview </w:t>
      </w:r>
      <w:r w:rsidRPr="000E0444">
        <w:rPr>
          <w:rFonts w:ascii="Arial" w:hAnsi="Arial" w:cs="Arial"/>
        </w:rPr>
        <w:t xml:space="preserve">reports will be published on the </w:t>
      </w:r>
      <w:r>
        <w:rPr>
          <w:rFonts w:ascii="Arial" w:hAnsi="Arial" w:cs="Arial"/>
        </w:rPr>
        <w:t>SAPB</w:t>
      </w:r>
      <w:r w:rsidRPr="000E0444">
        <w:rPr>
          <w:rFonts w:ascii="Arial" w:hAnsi="Arial" w:cs="Arial"/>
        </w:rPr>
        <w:t xml:space="preserve"> website</w:t>
      </w:r>
      <w:r w:rsidR="00FB015A">
        <w:rPr>
          <w:rFonts w:ascii="Arial" w:hAnsi="Arial" w:cs="Arial"/>
        </w:rPr>
        <w:t>.</w:t>
      </w:r>
      <w:r w:rsidRPr="000E0444">
        <w:rPr>
          <w:rFonts w:ascii="Arial" w:hAnsi="Arial" w:cs="Arial"/>
        </w:rPr>
        <w:t xml:space="preserve"> </w:t>
      </w:r>
    </w:p>
    <w:p w14:paraId="70DFA46A" w14:textId="77777777" w:rsidR="000E0444" w:rsidRDefault="000E0444" w:rsidP="000E0444">
      <w:pPr>
        <w:pStyle w:val="NoSpacing"/>
        <w:rPr>
          <w:rFonts w:ascii="Arial" w:hAnsi="Arial" w:cs="Arial"/>
        </w:rPr>
      </w:pPr>
    </w:p>
    <w:p w14:paraId="4EB376B6" w14:textId="77777777" w:rsidR="000E0444" w:rsidRPr="00EC63D7" w:rsidRDefault="000E0444" w:rsidP="000E0444">
      <w:pPr>
        <w:pStyle w:val="NoSpacing"/>
        <w:rPr>
          <w:rFonts w:ascii="Arial" w:hAnsi="Arial" w:cs="Arial"/>
        </w:rPr>
      </w:pPr>
      <w:r w:rsidRPr="000E0444">
        <w:rPr>
          <w:rFonts w:ascii="Arial" w:hAnsi="Arial" w:cs="Arial"/>
        </w:rPr>
        <w:t>Prior to publication the S</w:t>
      </w:r>
      <w:r>
        <w:rPr>
          <w:rFonts w:ascii="Arial" w:hAnsi="Arial" w:cs="Arial"/>
        </w:rPr>
        <w:t>APB</w:t>
      </w:r>
      <w:r w:rsidRPr="000E0444">
        <w:rPr>
          <w:rFonts w:ascii="Arial" w:hAnsi="Arial" w:cs="Arial"/>
        </w:rPr>
        <w:t xml:space="preserve"> Chair will co- ordinate the writing of a reactive/proactive statement with partner organisations Communication Leads.</w:t>
      </w:r>
    </w:p>
    <w:sectPr w:rsidR="000E0444" w:rsidRPr="00EC63D7" w:rsidSect="007A57A2">
      <w:footerReference w:type="defaul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30545" w14:textId="77777777" w:rsidR="00762257" w:rsidRDefault="00762257" w:rsidP="00762257">
      <w:pPr>
        <w:spacing w:after="0" w:line="240" w:lineRule="auto"/>
      </w:pPr>
      <w:r>
        <w:separator/>
      </w:r>
    </w:p>
  </w:endnote>
  <w:endnote w:type="continuationSeparator" w:id="0">
    <w:p w14:paraId="2C0D6817" w14:textId="77777777" w:rsidR="00762257" w:rsidRDefault="00762257" w:rsidP="00762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Black">
    <w:altName w:val="Arial"/>
    <w:panose1 w:val="00000000000000000000"/>
    <w:charset w:val="00"/>
    <w:family w:val="swiss"/>
    <w:notTrueType/>
    <w:pitch w:val="default"/>
    <w:sig w:usb0="00000003" w:usb1="00000000" w:usb2="00000000" w:usb3="00000000" w:csb0="00000001" w:csb1="00000000"/>
  </w:font>
  <w:font w:name="HelveticaNeue-Heavy">
    <w:altName w:val="Arial"/>
    <w:panose1 w:val="00000000000000000000"/>
    <w:charset w:val="00"/>
    <w:family w:val="swiss"/>
    <w:notTrueType/>
    <w:pitch w:val="default"/>
    <w:sig w:usb0="00000003" w:usb1="00000000" w:usb2="0000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009286"/>
      <w:docPartObj>
        <w:docPartGallery w:val="Page Numbers (Bottom of Page)"/>
        <w:docPartUnique/>
      </w:docPartObj>
    </w:sdtPr>
    <w:sdtEndPr>
      <w:rPr>
        <w:color w:val="7F7F7F" w:themeColor="background1" w:themeShade="7F"/>
        <w:spacing w:val="60"/>
      </w:rPr>
    </w:sdtEndPr>
    <w:sdtContent>
      <w:p w14:paraId="6500C4A0" w14:textId="206FC803" w:rsidR="007A57A2" w:rsidRDefault="007A57A2">
        <w:pPr>
          <w:pStyle w:val="Footer"/>
          <w:pBdr>
            <w:top w:val="single" w:sz="4" w:space="1" w:color="D9D9D9" w:themeColor="background1" w:themeShade="D9"/>
          </w:pBdr>
          <w:jc w:val="right"/>
        </w:pPr>
        <w:r>
          <w:fldChar w:fldCharType="begin"/>
        </w:r>
        <w:r>
          <w:instrText xml:space="preserve"> PAGE   \* MERGEFORMAT </w:instrText>
        </w:r>
        <w:r>
          <w:fldChar w:fldCharType="separate"/>
        </w:r>
        <w:r w:rsidR="00C25D6D">
          <w:rPr>
            <w:noProof/>
          </w:rPr>
          <w:t>2</w:t>
        </w:r>
        <w:r>
          <w:rPr>
            <w:noProof/>
          </w:rPr>
          <w:fldChar w:fldCharType="end"/>
        </w:r>
        <w:r>
          <w:t xml:space="preserve"> | </w:t>
        </w:r>
        <w:r>
          <w:rPr>
            <w:color w:val="7F7F7F" w:themeColor="background1" w:themeShade="7F"/>
            <w:spacing w:val="60"/>
          </w:rPr>
          <w:t>Page</w:t>
        </w:r>
      </w:p>
    </w:sdtContent>
  </w:sdt>
  <w:p w14:paraId="5207BE2D" w14:textId="77777777" w:rsidR="007A57A2" w:rsidRDefault="007A5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FD4A4" w14:textId="77777777" w:rsidR="00762257" w:rsidRDefault="00762257" w:rsidP="00762257">
      <w:pPr>
        <w:spacing w:after="0" w:line="240" w:lineRule="auto"/>
      </w:pPr>
      <w:r>
        <w:separator/>
      </w:r>
    </w:p>
  </w:footnote>
  <w:footnote w:type="continuationSeparator" w:id="0">
    <w:p w14:paraId="4777151F" w14:textId="77777777" w:rsidR="00762257" w:rsidRDefault="00762257" w:rsidP="00762257">
      <w:pPr>
        <w:spacing w:after="0" w:line="240" w:lineRule="auto"/>
      </w:pPr>
      <w:r>
        <w:continuationSeparator/>
      </w:r>
    </w:p>
  </w:footnote>
  <w:footnote w:id="1">
    <w:p w14:paraId="79DCEEAC" w14:textId="2A22E48D" w:rsidR="00762257" w:rsidRDefault="00762257">
      <w:pPr>
        <w:pStyle w:val="FootnoteText"/>
      </w:pPr>
      <w:r>
        <w:rPr>
          <w:rStyle w:val="FootnoteReference"/>
        </w:rPr>
        <w:footnoteRef/>
      </w:r>
      <w:r>
        <w:t xml:space="preserve"> </w:t>
      </w:r>
      <w:hyperlink r:id="rId1" w:history="1">
        <w:r w:rsidR="00243A7E" w:rsidRPr="00AE4C2B">
          <w:rPr>
            <w:rStyle w:val="Hyperlink"/>
          </w:rPr>
          <w:t>https://www.gov.uk/government/publications/care-act-statutory-guidance/care-and-support-statutory-guidance</w:t>
        </w:r>
      </w:hyperlink>
      <w:r w:rsidR="00243A7E">
        <w:t xml:space="preserve"> </w:t>
      </w:r>
    </w:p>
  </w:footnote>
  <w:footnote w:id="2">
    <w:p w14:paraId="09312B93" w14:textId="625C7EE1" w:rsidR="002D1A08" w:rsidRDefault="002D1A08">
      <w:pPr>
        <w:pStyle w:val="FootnoteText"/>
      </w:pPr>
      <w:r>
        <w:rPr>
          <w:rStyle w:val="FootnoteReference"/>
        </w:rPr>
        <w:footnoteRef/>
      </w:r>
      <w:r>
        <w:t xml:space="preserve"> </w:t>
      </w:r>
      <w:hyperlink r:id="rId2" w:history="1">
        <w:r w:rsidR="00243A7E" w:rsidRPr="00AE4C2B">
          <w:rPr>
            <w:rStyle w:val="Hyperlink"/>
          </w:rPr>
          <w:t>http://londonadass.org.uk/wp-content/uploads/2015/02/Pan-London-Updated-August-2016.pdf</w:t>
        </w:r>
      </w:hyperlink>
      <w:r w:rsidR="00243A7E">
        <w:t xml:space="preserve"> </w:t>
      </w:r>
    </w:p>
  </w:footnote>
  <w:footnote w:id="3">
    <w:p w14:paraId="50C093E2" w14:textId="34777DB2" w:rsidR="00243A7E" w:rsidRDefault="00243A7E">
      <w:pPr>
        <w:pStyle w:val="FootnoteText"/>
      </w:pPr>
      <w:r>
        <w:rPr>
          <w:rStyle w:val="FootnoteReference"/>
        </w:rPr>
        <w:footnoteRef/>
      </w:r>
      <w:r>
        <w:t xml:space="preserve"> </w:t>
      </w:r>
      <w:hyperlink r:id="rId3" w:history="1">
        <w:r w:rsidRPr="00AE4C2B">
          <w:rPr>
            <w:rStyle w:val="Hyperlink"/>
          </w:rPr>
          <w:t>https://www.gov.uk/government/publications/care-act-statutory-guidance/care-and-support-statutory-guidance</w:t>
        </w:r>
      </w:hyperlink>
      <w:r>
        <w:t xml:space="preserve"> </w:t>
      </w:r>
    </w:p>
  </w:footnote>
  <w:footnote w:id="4">
    <w:p w14:paraId="6F6098FD" w14:textId="270C4D1B" w:rsidR="004640FF" w:rsidRDefault="004640FF">
      <w:pPr>
        <w:pStyle w:val="FootnoteText"/>
      </w:pPr>
      <w:r>
        <w:rPr>
          <w:rStyle w:val="FootnoteReference"/>
        </w:rPr>
        <w:footnoteRef/>
      </w:r>
      <w:r>
        <w:t xml:space="preserve"> </w:t>
      </w:r>
      <w:hyperlink r:id="rId4" w:history="1">
        <w:r w:rsidRPr="00AE4C2B">
          <w:rPr>
            <w:rStyle w:val="Hyperlink"/>
          </w:rPr>
          <w:t>http://www.legislation.gov.uk/ukpga/2014/23/contents/enacted</w:t>
        </w:r>
      </w:hyperlink>
      <w:r>
        <w:t xml:space="preserve"> </w:t>
      </w:r>
    </w:p>
  </w:footnote>
  <w:footnote w:id="5">
    <w:p w14:paraId="1F44A075" w14:textId="6771A2C0" w:rsidR="004640FF" w:rsidRDefault="004640FF">
      <w:pPr>
        <w:pStyle w:val="FootnoteText"/>
      </w:pPr>
      <w:r>
        <w:rPr>
          <w:rStyle w:val="FootnoteReference"/>
        </w:rPr>
        <w:footnoteRef/>
      </w:r>
      <w:r>
        <w:t xml:space="preserve"> </w:t>
      </w:r>
      <w:hyperlink r:id="rId5" w:history="1">
        <w:r w:rsidRPr="00AE4C2B">
          <w:rPr>
            <w:rStyle w:val="Hyperlink"/>
          </w:rPr>
          <w:t>http://www.legislation.gov.uk/ukpga/2018/12/contents/enacted/data.htm</w:t>
        </w:r>
      </w:hyperlink>
      <w:r>
        <w:t xml:space="preserve"> </w:t>
      </w:r>
    </w:p>
  </w:footnote>
  <w:footnote w:id="6">
    <w:p w14:paraId="2779A4CC" w14:textId="76FBDD70" w:rsidR="004640FF" w:rsidRDefault="004640FF">
      <w:pPr>
        <w:pStyle w:val="FootnoteText"/>
      </w:pPr>
      <w:r>
        <w:rPr>
          <w:rStyle w:val="FootnoteReference"/>
        </w:rPr>
        <w:footnoteRef/>
      </w:r>
      <w:r>
        <w:t xml:space="preserve"> </w:t>
      </w:r>
      <w:hyperlink r:id="rId6" w:history="1">
        <w:r w:rsidRPr="00AE4C2B">
          <w:rPr>
            <w:rStyle w:val="Hyperlink"/>
          </w:rPr>
          <w:t>http://www.legislation.gov.uk/ukpga/2005/9/contents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84CDB"/>
    <w:multiLevelType w:val="hybridMultilevel"/>
    <w:tmpl w:val="45DC75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27FE71DC"/>
    <w:multiLevelType w:val="hybridMultilevel"/>
    <w:tmpl w:val="B8669A8A"/>
    <w:lvl w:ilvl="0" w:tplc="0809000F">
      <w:start w:val="1"/>
      <w:numFmt w:val="decimal"/>
      <w:lvlText w:val="%1."/>
      <w:lvlJc w:val="left"/>
      <w:pPr>
        <w:tabs>
          <w:tab w:val="num" w:pos="1080"/>
        </w:tabs>
        <w:ind w:left="1080" w:hanging="360"/>
      </w:pPr>
    </w:lvl>
    <w:lvl w:ilvl="1" w:tplc="836415D2">
      <w:start w:val="1"/>
      <w:numFmt w:val="lowerLetter"/>
      <w:lvlText w:val="(%2)"/>
      <w:lvlJc w:val="left"/>
      <w:pPr>
        <w:tabs>
          <w:tab w:val="num" w:pos="1950"/>
        </w:tabs>
        <w:ind w:left="1950" w:hanging="510"/>
      </w:pPr>
    </w:lvl>
    <w:lvl w:ilvl="2" w:tplc="0809000F">
      <w:start w:val="1"/>
      <w:numFmt w:val="decimal"/>
      <w:lvlText w:val="%3."/>
      <w:lvlJc w:val="left"/>
      <w:pPr>
        <w:tabs>
          <w:tab w:val="num" w:pos="2700"/>
        </w:tabs>
        <w:ind w:left="2700" w:hanging="36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 w15:restartNumberingAfterBreak="0">
    <w:nsid w:val="3BF13AEA"/>
    <w:multiLevelType w:val="hybridMultilevel"/>
    <w:tmpl w:val="E1C85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1587B"/>
    <w:multiLevelType w:val="hybridMultilevel"/>
    <w:tmpl w:val="5420A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517E5"/>
    <w:multiLevelType w:val="hybridMultilevel"/>
    <w:tmpl w:val="A642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203FF"/>
    <w:multiLevelType w:val="hybridMultilevel"/>
    <w:tmpl w:val="EF2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E3011"/>
    <w:multiLevelType w:val="hybridMultilevel"/>
    <w:tmpl w:val="59E0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2A3847"/>
    <w:multiLevelType w:val="hybridMultilevel"/>
    <w:tmpl w:val="778A5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CB124F"/>
    <w:multiLevelType w:val="hybridMultilevel"/>
    <w:tmpl w:val="2026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301565"/>
    <w:multiLevelType w:val="hybridMultilevel"/>
    <w:tmpl w:val="AE1AC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0A6CBB"/>
    <w:multiLevelType w:val="hybridMultilevel"/>
    <w:tmpl w:val="E7CAE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9E7825"/>
    <w:multiLevelType w:val="hybridMultilevel"/>
    <w:tmpl w:val="0730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9439A0"/>
    <w:multiLevelType w:val="hybridMultilevel"/>
    <w:tmpl w:val="F2F4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8236A"/>
    <w:multiLevelType w:val="hybridMultilevel"/>
    <w:tmpl w:val="8AE6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3"/>
  </w:num>
  <w:num w:numId="4">
    <w:abstractNumId w:val="2"/>
  </w:num>
  <w:num w:numId="5">
    <w:abstractNumId w:val="8"/>
  </w:num>
  <w:num w:numId="6">
    <w:abstractNumId w:val="11"/>
  </w:num>
  <w:num w:numId="7">
    <w:abstractNumId w:val="4"/>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0"/>
  </w:num>
  <w:num w:numId="13">
    <w:abstractNumId w:val="9"/>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3B3"/>
    <w:rsid w:val="000151C2"/>
    <w:rsid w:val="00021867"/>
    <w:rsid w:val="00031E08"/>
    <w:rsid w:val="00034276"/>
    <w:rsid w:val="00071A45"/>
    <w:rsid w:val="000735AE"/>
    <w:rsid w:val="0008665A"/>
    <w:rsid w:val="000A19A8"/>
    <w:rsid w:val="000B2874"/>
    <w:rsid w:val="000E0444"/>
    <w:rsid w:val="000E1B3B"/>
    <w:rsid w:val="00112A9A"/>
    <w:rsid w:val="00123446"/>
    <w:rsid w:val="00152EB2"/>
    <w:rsid w:val="00162671"/>
    <w:rsid w:val="00171006"/>
    <w:rsid w:val="001C4F59"/>
    <w:rsid w:val="001F4EA0"/>
    <w:rsid w:val="001F6765"/>
    <w:rsid w:val="002005C5"/>
    <w:rsid w:val="00215966"/>
    <w:rsid w:val="00225BD4"/>
    <w:rsid w:val="00243A7E"/>
    <w:rsid w:val="0027073F"/>
    <w:rsid w:val="0027664E"/>
    <w:rsid w:val="0028471F"/>
    <w:rsid w:val="002912D6"/>
    <w:rsid w:val="002D1A08"/>
    <w:rsid w:val="002D297C"/>
    <w:rsid w:val="002E2430"/>
    <w:rsid w:val="002E2CC7"/>
    <w:rsid w:val="002F12A7"/>
    <w:rsid w:val="003821DC"/>
    <w:rsid w:val="003A7B33"/>
    <w:rsid w:val="003E4827"/>
    <w:rsid w:val="0046039E"/>
    <w:rsid w:val="004640FF"/>
    <w:rsid w:val="00472914"/>
    <w:rsid w:val="00482DC8"/>
    <w:rsid w:val="004A0A31"/>
    <w:rsid w:val="004C4A29"/>
    <w:rsid w:val="004D5F80"/>
    <w:rsid w:val="004E4418"/>
    <w:rsid w:val="0052158D"/>
    <w:rsid w:val="00581CC5"/>
    <w:rsid w:val="005D27D0"/>
    <w:rsid w:val="005F5A2A"/>
    <w:rsid w:val="006020F8"/>
    <w:rsid w:val="00610BF9"/>
    <w:rsid w:val="006A0F39"/>
    <w:rsid w:val="006A770F"/>
    <w:rsid w:val="006D6A68"/>
    <w:rsid w:val="006E03B3"/>
    <w:rsid w:val="006E0E54"/>
    <w:rsid w:val="00711240"/>
    <w:rsid w:val="007149B5"/>
    <w:rsid w:val="0071755D"/>
    <w:rsid w:val="007177A1"/>
    <w:rsid w:val="00721C25"/>
    <w:rsid w:val="00734FA2"/>
    <w:rsid w:val="00751AC5"/>
    <w:rsid w:val="00762257"/>
    <w:rsid w:val="007961F4"/>
    <w:rsid w:val="007A4500"/>
    <w:rsid w:val="007A57A2"/>
    <w:rsid w:val="007B510F"/>
    <w:rsid w:val="00802095"/>
    <w:rsid w:val="00813D61"/>
    <w:rsid w:val="00843216"/>
    <w:rsid w:val="0085417C"/>
    <w:rsid w:val="00861937"/>
    <w:rsid w:val="008A46BC"/>
    <w:rsid w:val="008C4387"/>
    <w:rsid w:val="008F619E"/>
    <w:rsid w:val="008F7087"/>
    <w:rsid w:val="00910AE2"/>
    <w:rsid w:val="00924F6A"/>
    <w:rsid w:val="00925DEF"/>
    <w:rsid w:val="009654C2"/>
    <w:rsid w:val="0096671A"/>
    <w:rsid w:val="009713A9"/>
    <w:rsid w:val="00983F93"/>
    <w:rsid w:val="00984839"/>
    <w:rsid w:val="00994285"/>
    <w:rsid w:val="009961C3"/>
    <w:rsid w:val="00997A90"/>
    <w:rsid w:val="009D0DA5"/>
    <w:rsid w:val="00A15842"/>
    <w:rsid w:val="00A64CBA"/>
    <w:rsid w:val="00A6569D"/>
    <w:rsid w:val="00AF31AD"/>
    <w:rsid w:val="00AF39DF"/>
    <w:rsid w:val="00B25BD2"/>
    <w:rsid w:val="00B301EC"/>
    <w:rsid w:val="00B409F1"/>
    <w:rsid w:val="00B55610"/>
    <w:rsid w:val="00B735CE"/>
    <w:rsid w:val="00BA015F"/>
    <w:rsid w:val="00BE37D9"/>
    <w:rsid w:val="00C03A0F"/>
    <w:rsid w:val="00C25D6D"/>
    <w:rsid w:val="00C32A91"/>
    <w:rsid w:val="00C43000"/>
    <w:rsid w:val="00CC237A"/>
    <w:rsid w:val="00CF6227"/>
    <w:rsid w:val="00CF6252"/>
    <w:rsid w:val="00CF6B88"/>
    <w:rsid w:val="00D03D34"/>
    <w:rsid w:val="00D612A8"/>
    <w:rsid w:val="00D81DE7"/>
    <w:rsid w:val="00DD485F"/>
    <w:rsid w:val="00DF2DC6"/>
    <w:rsid w:val="00E058F2"/>
    <w:rsid w:val="00E20CE4"/>
    <w:rsid w:val="00E34919"/>
    <w:rsid w:val="00E35441"/>
    <w:rsid w:val="00E53FBD"/>
    <w:rsid w:val="00E6477C"/>
    <w:rsid w:val="00E6650C"/>
    <w:rsid w:val="00E81D76"/>
    <w:rsid w:val="00E87A7A"/>
    <w:rsid w:val="00EA03FF"/>
    <w:rsid w:val="00EA7487"/>
    <w:rsid w:val="00EC63D7"/>
    <w:rsid w:val="00F40854"/>
    <w:rsid w:val="00F41AF7"/>
    <w:rsid w:val="00F50582"/>
    <w:rsid w:val="00F519A4"/>
    <w:rsid w:val="00F80E1E"/>
    <w:rsid w:val="00FB015A"/>
    <w:rsid w:val="00FD483E"/>
    <w:rsid w:val="00FE1047"/>
    <w:rsid w:val="00FF0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2BBA18"/>
  <w15:chartTrackingRefBased/>
  <w15:docId w15:val="{3A7F0FCC-4223-4C3A-A2B8-65F2E453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37A"/>
    <w:pPr>
      <w:spacing w:after="0" w:line="240" w:lineRule="auto"/>
    </w:pPr>
  </w:style>
  <w:style w:type="paragraph" w:styleId="FootnoteText">
    <w:name w:val="footnote text"/>
    <w:basedOn w:val="Normal"/>
    <w:link w:val="FootnoteTextChar"/>
    <w:uiPriority w:val="99"/>
    <w:semiHidden/>
    <w:unhideWhenUsed/>
    <w:rsid w:val="007622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2257"/>
    <w:rPr>
      <w:sz w:val="20"/>
      <w:szCs w:val="20"/>
    </w:rPr>
  </w:style>
  <w:style w:type="character" w:styleId="FootnoteReference">
    <w:name w:val="footnote reference"/>
    <w:basedOn w:val="DefaultParagraphFont"/>
    <w:uiPriority w:val="99"/>
    <w:semiHidden/>
    <w:unhideWhenUsed/>
    <w:rsid w:val="00762257"/>
    <w:rPr>
      <w:vertAlign w:val="superscript"/>
    </w:rPr>
  </w:style>
  <w:style w:type="paragraph" w:styleId="Header">
    <w:name w:val="header"/>
    <w:basedOn w:val="Normal"/>
    <w:link w:val="HeaderChar"/>
    <w:uiPriority w:val="99"/>
    <w:unhideWhenUsed/>
    <w:rsid w:val="00E20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CE4"/>
  </w:style>
  <w:style w:type="paragraph" w:styleId="Footer">
    <w:name w:val="footer"/>
    <w:basedOn w:val="Normal"/>
    <w:link w:val="FooterChar"/>
    <w:uiPriority w:val="99"/>
    <w:unhideWhenUsed/>
    <w:rsid w:val="00E20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CE4"/>
  </w:style>
  <w:style w:type="character" w:styleId="CommentReference">
    <w:name w:val="annotation reference"/>
    <w:basedOn w:val="DefaultParagraphFont"/>
    <w:uiPriority w:val="99"/>
    <w:semiHidden/>
    <w:unhideWhenUsed/>
    <w:rsid w:val="009961C3"/>
    <w:rPr>
      <w:sz w:val="16"/>
      <w:szCs w:val="16"/>
    </w:rPr>
  </w:style>
  <w:style w:type="paragraph" w:styleId="CommentText">
    <w:name w:val="annotation text"/>
    <w:basedOn w:val="Normal"/>
    <w:link w:val="CommentTextChar"/>
    <w:uiPriority w:val="99"/>
    <w:semiHidden/>
    <w:unhideWhenUsed/>
    <w:rsid w:val="009961C3"/>
    <w:pPr>
      <w:spacing w:line="240" w:lineRule="auto"/>
    </w:pPr>
    <w:rPr>
      <w:sz w:val="20"/>
      <w:szCs w:val="20"/>
    </w:rPr>
  </w:style>
  <w:style w:type="character" w:customStyle="1" w:styleId="CommentTextChar">
    <w:name w:val="Comment Text Char"/>
    <w:basedOn w:val="DefaultParagraphFont"/>
    <w:link w:val="CommentText"/>
    <w:uiPriority w:val="99"/>
    <w:semiHidden/>
    <w:rsid w:val="009961C3"/>
    <w:rPr>
      <w:sz w:val="20"/>
      <w:szCs w:val="20"/>
    </w:rPr>
  </w:style>
  <w:style w:type="paragraph" w:styleId="CommentSubject">
    <w:name w:val="annotation subject"/>
    <w:basedOn w:val="CommentText"/>
    <w:next w:val="CommentText"/>
    <w:link w:val="CommentSubjectChar"/>
    <w:uiPriority w:val="99"/>
    <w:semiHidden/>
    <w:unhideWhenUsed/>
    <w:rsid w:val="009961C3"/>
    <w:rPr>
      <w:b/>
      <w:bCs/>
    </w:rPr>
  </w:style>
  <w:style w:type="character" w:customStyle="1" w:styleId="CommentSubjectChar">
    <w:name w:val="Comment Subject Char"/>
    <w:basedOn w:val="CommentTextChar"/>
    <w:link w:val="CommentSubject"/>
    <w:uiPriority w:val="99"/>
    <w:semiHidden/>
    <w:rsid w:val="009961C3"/>
    <w:rPr>
      <w:b/>
      <w:bCs/>
      <w:sz w:val="20"/>
      <w:szCs w:val="20"/>
    </w:rPr>
  </w:style>
  <w:style w:type="paragraph" w:styleId="BalloonText">
    <w:name w:val="Balloon Text"/>
    <w:basedOn w:val="Normal"/>
    <w:link w:val="BalloonTextChar"/>
    <w:uiPriority w:val="99"/>
    <w:semiHidden/>
    <w:unhideWhenUsed/>
    <w:rsid w:val="00996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1C3"/>
    <w:rPr>
      <w:rFonts w:ascii="Segoe UI" w:hAnsi="Segoe UI" w:cs="Segoe UI"/>
      <w:sz w:val="18"/>
      <w:szCs w:val="18"/>
    </w:rPr>
  </w:style>
  <w:style w:type="character" w:styleId="Hyperlink">
    <w:name w:val="Hyperlink"/>
    <w:basedOn w:val="DefaultParagraphFont"/>
    <w:uiPriority w:val="99"/>
    <w:unhideWhenUsed/>
    <w:rsid w:val="00243A7E"/>
    <w:rPr>
      <w:color w:val="0563C1" w:themeColor="hyperlink"/>
      <w:u w:val="single"/>
    </w:rPr>
  </w:style>
  <w:style w:type="paragraph" w:styleId="ListParagraph">
    <w:name w:val="List Paragraph"/>
    <w:basedOn w:val="Normal"/>
    <w:uiPriority w:val="34"/>
    <w:qFormat/>
    <w:rsid w:val="000B2874"/>
    <w:pPr>
      <w:ind w:left="720"/>
      <w:contextualSpacing/>
    </w:pPr>
  </w:style>
  <w:style w:type="character" w:styleId="FollowedHyperlink">
    <w:name w:val="FollowedHyperlink"/>
    <w:basedOn w:val="DefaultParagraphFont"/>
    <w:uiPriority w:val="99"/>
    <w:semiHidden/>
    <w:unhideWhenUsed/>
    <w:rsid w:val="00F41A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0585">
      <w:bodyDiv w:val="1"/>
      <w:marLeft w:val="0"/>
      <w:marRight w:val="0"/>
      <w:marTop w:val="0"/>
      <w:marBottom w:val="0"/>
      <w:divBdr>
        <w:top w:val="none" w:sz="0" w:space="0" w:color="auto"/>
        <w:left w:val="none" w:sz="0" w:space="0" w:color="auto"/>
        <w:bottom w:val="none" w:sz="0" w:space="0" w:color="auto"/>
        <w:right w:val="none" w:sz="0" w:space="0" w:color="auto"/>
      </w:divBdr>
    </w:div>
    <w:div w:id="1041855408">
      <w:bodyDiv w:val="1"/>
      <w:marLeft w:val="0"/>
      <w:marRight w:val="0"/>
      <w:marTop w:val="0"/>
      <w:marBottom w:val="0"/>
      <w:divBdr>
        <w:top w:val="none" w:sz="0" w:space="0" w:color="auto"/>
        <w:left w:val="none" w:sz="0" w:space="0" w:color="auto"/>
        <w:bottom w:val="none" w:sz="0" w:space="0" w:color="auto"/>
        <w:right w:val="none" w:sz="0" w:space="0" w:color="auto"/>
      </w:divBdr>
    </w:div>
    <w:div w:id="1821338398">
      <w:bodyDiv w:val="1"/>
      <w:marLeft w:val="0"/>
      <w:marRight w:val="0"/>
      <w:marTop w:val="0"/>
      <w:marBottom w:val="0"/>
      <w:divBdr>
        <w:top w:val="none" w:sz="0" w:space="0" w:color="auto"/>
        <w:left w:val="none" w:sz="0" w:space="0" w:color="auto"/>
        <w:bottom w:val="none" w:sz="0" w:space="0" w:color="auto"/>
        <w:right w:val="none" w:sz="0" w:space="0" w:color="auto"/>
      </w:divBdr>
      <w:divsChild>
        <w:div w:id="563107322">
          <w:marLeft w:val="0"/>
          <w:marRight w:val="0"/>
          <w:marTop w:val="0"/>
          <w:marBottom w:val="0"/>
          <w:divBdr>
            <w:top w:val="none" w:sz="0" w:space="0" w:color="auto"/>
            <w:left w:val="none" w:sz="0" w:space="0" w:color="auto"/>
            <w:bottom w:val="none" w:sz="0" w:space="0" w:color="auto"/>
            <w:right w:val="none" w:sz="0" w:space="0" w:color="auto"/>
          </w:divBdr>
          <w:divsChild>
            <w:div w:id="1113285670">
              <w:marLeft w:val="0"/>
              <w:marRight w:val="0"/>
              <w:marTop w:val="0"/>
              <w:marBottom w:val="0"/>
              <w:divBdr>
                <w:top w:val="none" w:sz="0" w:space="0" w:color="auto"/>
                <w:left w:val="none" w:sz="0" w:space="0" w:color="auto"/>
                <w:bottom w:val="none" w:sz="0" w:space="0" w:color="auto"/>
                <w:right w:val="none" w:sz="0" w:space="0" w:color="auto"/>
              </w:divBdr>
              <w:divsChild>
                <w:div w:id="634067695">
                  <w:marLeft w:val="0"/>
                  <w:marRight w:val="0"/>
                  <w:marTop w:val="0"/>
                  <w:marBottom w:val="0"/>
                  <w:divBdr>
                    <w:top w:val="none" w:sz="0" w:space="0" w:color="auto"/>
                    <w:left w:val="none" w:sz="0" w:space="0" w:color="auto"/>
                    <w:bottom w:val="none" w:sz="0" w:space="0" w:color="auto"/>
                    <w:right w:val="none" w:sz="0" w:space="0" w:color="auto"/>
                  </w:divBdr>
                  <w:divsChild>
                    <w:div w:id="1703627729">
                      <w:marLeft w:val="0"/>
                      <w:marRight w:val="0"/>
                      <w:marTop w:val="0"/>
                      <w:marBottom w:val="0"/>
                      <w:divBdr>
                        <w:top w:val="none" w:sz="0" w:space="0" w:color="auto"/>
                        <w:left w:val="none" w:sz="0" w:space="0" w:color="auto"/>
                        <w:bottom w:val="none" w:sz="0" w:space="0" w:color="auto"/>
                        <w:right w:val="none" w:sz="0" w:space="0" w:color="auto"/>
                      </w:divBdr>
                      <w:divsChild>
                        <w:div w:id="1259559031">
                          <w:marLeft w:val="0"/>
                          <w:marRight w:val="0"/>
                          <w:marTop w:val="0"/>
                          <w:marBottom w:val="0"/>
                          <w:divBdr>
                            <w:top w:val="none" w:sz="0" w:space="0" w:color="auto"/>
                            <w:left w:val="none" w:sz="0" w:space="0" w:color="auto"/>
                            <w:bottom w:val="none" w:sz="0" w:space="0" w:color="auto"/>
                            <w:right w:val="none" w:sz="0" w:space="0" w:color="auto"/>
                          </w:divBdr>
                          <w:divsChild>
                            <w:div w:id="165911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mdenSAPB@Camden.gov.uk" TargetMode="External"/><Relationship Id="rId18" Type="http://schemas.openxmlformats.org/officeDocument/2006/relationships/hyperlink" Target="file:///\\lbcamden.net\teams\CSFTeams\Adult%20Social%20Care\Safeguarding%20Adults\Safeguarding%20Partnership%20Board\SUB-GROUPS\SAR%20Sub%20group\SAR%20Framework%20-%20August%202019\ITEM%208A%208%20Safeguarding%20Adult%20Review%20Author%20Evaluation.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lbcamden.net\teams\CSFTeams\Adult%20Social%20Care\Safeguarding%20Adults\Safeguarding%20Partnership%20Board\SUB-GROUPS\SAR%20Sub%20group\SAR%20Framework%20-%20August%202019\ITEM%208A%201%20Draft%20SAR%20Framework.docx" TargetMode="External"/><Relationship Id="rId17" Type="http://schemas.openxmlformats.org/officeDocument/2006/relationships/hyperlink" Target="https://www.scie.org.uk/" TargetMode="External"/><Relationship Id="rId2" Type="http://schemas.openxmlformats.org/officeDocument/2006/relationships/customXml" Target="../customXml/item2.xml"/><Relationship Id="rId16" Type="http://schemas.openxmlformats.org/officeDocument/2006/relationships/hyperlink" Target="https://www.camden.gov.uk/documents/20142/0/Camden+SAR+Methodology+Decision+Tree.docx/8f0b859c-ecbc-5e3a-2d89-6acabf39383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lbcamden.net\teams\CSFTeams\Adult%20Social%20Care\Safeguarding%20Adults\Safeguarding%20Partnership%20Board\SUB-GROUPS\SAR%20Sub%20group\SAR%20Framework%20-%20August%202019\ITEM%208A%2010%20Camden%20SAPB%20SAR%20Leaflet%20for%20Families,%20Carers,%20Friends.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mden.gov.uk/documents/20142/0/Camden+SAR+Methodology+Decision+Tree.docx/8f0b859c-ecbc-5e3a-2d89-6acabf39383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care-act-statutory-guidance/care-and-support-statutory-guidance" TargetMode="External"/><Relationship Id="rId2" Type="http://schemas.openxmlformats.org/officeDocument/2006/relationships/hyperlink" Target="http://londonadass.org.uk/wp-content/uploads/2015/02/Pan-London-Updated-August-2016.pdf" TargetMode="External"/><Relationship Id="rId1" Type="http://schemas.openxmlformats.org/officeDocument/2006/relationships/hyperlink" Target="https://www.gov.uk/government/publications/care-act-statutory-guidance/care-and-support-statutory-guidance" TargetMode="External"/><Relationship Id="rId6" Type="http://schemas.openxmlformats.org/officeDocument/2006/relationships/hyperlink" Target="http://www.legislation.gov.uk/ukpga/2005/9/contents" TargetMode="External"/><Relationship Id="rId5" Type="http://schemas.openxmlformats.org/officeDocument/2006/relationships/hyperlink" Target="http://www.legislation.gov.uk/ukpga/2018/12/contents/enacted/data.htm" TargetMode="External"/><Relationship Id="rId4" Type="http://schemas.openxmlformats.org/officeDocument/2006/relationships/hyperlink" Target="http://www.legislation.gov.uk/ukpga/2014/23/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7" ma:contentTypeDescription="Create a new document." ma:contentTypeScope="" ma:versionID="2cbe98a413f6de8387221a5fa27f503a">
  <xsd:schema xmlns:xsd="http://www.w3.org/2001/XMLSchema" xmlns:xs="http://www.w3.org/2001/XMLSchema" xmlns:p="http://schemas.microsoft.com/office/2006/metadata/properties" xmlns:ns3="360c65b0-1cc5-427a-8427-4bd291ec2a6a" targetNamespace="http://schemas.microsoft.com/office/2006/metadata/properties" ma:root="true" ma:fieldsID="6f0abdab4b3a74bddeb442674811b148" ns3:_="">
    <xsd:import namespace="360c65b0-1cc5-427a-8427-4bd291ec2a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CB72A-5E11-4C2A-A87A-2B2B7287B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8A805-C429-4715-8975-F275BA721210}">
  <ds:schemaRefs>
    <ds:schemaRef ds:uri="http://schemas.microsoft.com/sharepoint/v3/contenttype/forms"/>
  </ds:schemaRefs>
</ds:datastoreItem>
</file>

<file path=customXml/itemProps3.xml><?xml version="1.0" encoding="utf-8"?>
<ds:datastoreItem xmlns:ds="http://schemas.openxmlformats.org/officeDocument/2006/customXml" ds:itemID="{D76C2EE2-4C9F-4AEE-BC28-E512DD9BD59F}">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360c65b0-1cc5-427a-8427-4bd291ec2a6a"/>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688FF68C-3F3A-4FF1-97EC-51501E9B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2988</Words>
  <Characters>17037</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Victoria - Head of Adult Safeguarding</dc:creator>
  <cp:keywords/>
  <dc:description/>
  <cp:lastModifiedBy>Bruggi, Giovanni</cp:lastModifiedBy>
  <cp:revision>2</cp:revision>
  <dcterms:created xsi:type="dcterms:W3CDTF">2019-10-31T15:21:00Z</dcterms:created>
  <dcterms:modified xsi:type="dcterms:W3CDTF">2019-10-31T15:21:00Z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ies>
</file>